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B02AC" w:rsidRDefault="00000000">
      <w:pPr>
        <w:widowControl w:val="0"/>
        <w:spacing w:after="0" w:line="240" w:lineRule="auto"/>
        <w:jc w:val="center"/>
        <w:rPr>
          <w:rFonts w:ascii="Century Gothic" w:eastAsia="Century Gothic" w:hAnsi="Century Gothic" w:cs="Century Gothic"/>
          <w:b/>
          <w:i/>
          <w:u w:val="single"/>
        </w:rPr>
      </w:pPr>
      <w:r>
        <w:rPr>
          <w:rFonts w:ascii="Century Gothic" w:eastAsia="Century Gothic" w:hAnsi="Century Gothic" w:cs="Century Gothic"/>
          <w:b/>
          <w:u w:val="single"/>
        </w:rPr>
        <w:t xml:space="preserve"> Informe de Presidencia </w:t>
      </w:r>
    </w:p>
    <w:p w14:paraId="00000002" w14:textId="77777777" w:rsidR="00BB02AC" w:rsidRDefault="00000000">
      <w:pPr>
        <w:widowControl w:val="0"/>
        <w:spacing w:after="0" w:line="240" w:lineRule="auto"/>
        <w:jc w:val="center"/>
        <w:rPr>
          <w:rFonts w:ascii="Century Gothic" w:eastAsia="Century Gothic" w:hAnsi="Century Gothic" w:cs="Century Gothic"/>
          <w:b/>
          <w:u w:val="single"/>
        </w:rPr>
      </w:pPr>
      <w:bookmarkStart w:id="0" w:name="_heading=h.gjdgxs" w:colFirst="0" w:colLast="0"/>
      <w:bookmarkEnd w:id="0"/>
      <w:r>
        <w:rPr>
          <w:rFonts w:ascii="Century Gothic" w:eastAsia="Century Gothic" w:hAnsi="Century Gothic" w:cs="Century Gothic"/>
          <w:b/>
          <w:u w:val="single"/>
        </w:rPr>
        <w:t>8° Reunión Ordinaria Consejo Directivo 26-09-</w:t>
      </w:r>
      <w:proofErr w:type="gramStart"/>
      <w:r>
        <w:rPr>
          <w:rFonts w:ascii="Century Gothic" w:eastAsia="Century Gothic" w:hAnsi="Century Gothic" w:cs="Century Gothic"/>
          <w:b/>
          <w:u w:val="single"/>
        </w:rPr>
        <w:t>2024  Modalidad</w:t>
      </w:r>
      <w:proofErr w:type="gramEnd"/>
      <w:r>
        <w:rPr>
          <w:rFonts w:ascii="Century Gothic" w:eastAsia="Century Gothic" w:hAnsi="Century Gothic" w:cs="Century Gothic"/>
          <w:b/>
          <w:u w:val="single"/>
        </w:rPr>
        <w:t xml:space="preserve"> Combinada</w:t>
      </w:r>
    </w:p>
    <w:p w14:paraId="00000003" w14:textId="77777777" w:rsidR="00BB02AC" w:rsidRDefault="00BB02AC">
      <w:pPr>
        <w:widowControl w:val="0"/>
        <w:spacing w:after="0" w:line="240" w:lineRule="auto"/>
        <w:jc w:val="both"/>
        <w:rPr>
          <w:rFonts w:ascii="Century Gothic" w:eastAsia="Century Gothic" w:hAnsi="Century Gothic" w:cs="Century Gothic"/>
          <w:b/>
          <w:i/>
        </w:rPr>
      </w:pPr>
    </w:p>
    <w:p w14:paraId="00000004" w14:textId="77777777" w:rsidR="00BB02AC" w:rsidRDefault="00000000">
      <w:pPr>
        <w:widowControl w:val="0"/>
        <w:spacing w:after="0" w:line="240" w:lineRule="auto"/>
        <w:jc w:val="both"/>
        <w:rPr>
          <w:rFonts w:ascii="Century Gothic" w:eastAsia="Century Gothic" w:hAnsi="Century Gothic" w:cs="Century Gothic"/>
        </w:rPr>
      </w:pPr>
      <w:r>
        <w:rPr>
          <w:rFonts w:ascii="Century Gothic" w:eastAsia="Century Gothic" w:hAnsi="Century Gothic" w:cs="Century Gothic"/>
          <w:b/>
        </w:rPr>
        <w:t>Decanato:</w:t>
      </w:r>
    </w:p>
    <w:p w14:paraId="00000005" w14:textId="77777777"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color w:val="222222"/>
          <w:highlight w:val="white"/>
        </w:rPr>
        <w:t>Acto Cultural bienvenida autoridades del CIN: el día 29/08 se realizó el Acto Cultural de bienvenida a autoridades universitarias, que participaron del Plenario de Rectores y Rectoras, organizado por Consejo Interuniversitario Nacional (CIN) en el Aula Magna de la Universidad Nacional de La Pampa. En representación de la Facultad asistió el Decano.</w:t>
      </w:r>
    </w:p>
    <w:p w14:paraId="00000006" w14:textId="4E7CD420"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Reunión con Senadores Nacionales de provincia de La Pampa: el día 30/08 se realizó en el ámbito del Salón del Consejo Superior una reunión donde participaron la senadora Victoria </w:t>
      </w:r>
      <w:r w:rsidR="00511E0F">
        <w:rPr>
          <w:rFonts w:ascii="Century Gothic" w:eastAsia="Century Gothic" w:hAnsi="Century Gothic" w:cs="Century Gothic"/>
          <w:color w:val="222222"/>
          <w:highlight w:val="white"/>
        </w:rPr>
        <w:t xml:space="preserve">HUALA </w:t>
      </w:r>
      <w:r>
        <w:rPr>
          <w:rFonts w:ascii="Century Gothic" w:eastAsia="Century Gothic" w:hAnsi="Century Gothic" w:cs="Century Gothic"/>
          <w:color w:val="222222"/>
          <w:highlight w:val="white"/>
        </w:rPr>
        <w:t xml:space="preserve">(PRO), los senadores Daniel </w:t>
      </w:r>
      <w:r w:rsidR="00511E0F">
        <w:rPr>
          <w:rFonts w:ascii="Century Gothic" w:eastAsia="Century Gothic" w:hAnsi="Century Gothic" w:cs="Century Gothic"/>
          <w:color w:val="222222"/>
          <w:highlight w:val="white"/>
        </w:rPr>
        <w:t xml:space="preserve">BENSUSAN </w:t>
      </w:r>
      <w:r>
        <w:rPr>
          <w:rFonts w:ascii="Century Gothic" w:eastAsia="Century Gothic" w:hAnsi="Century Gothic" w:cs="Century Gothic"/>
          <w:color w:val="222222"/>
          <w:highlight w:val="white"/>
        </w:rPr>
        <w:t xml:space="preserve">(P.J.) y Daniel </w:t>
      </w:r>
      <w:r w:rsidR="00511E0F">
        <w:rPr>
          <w:rFonts w:ascii="Century Gothic" w:eastAsia="Century Gothic" w:hAnsi="Century Gothic" w:cs="Century Gothic"/>
          <w:color w:val="222222"/>
          <w:highlight w:val="white"/>
        </w:rPr>
        <w:t xml:space="preserve">KRONEBERGER </w:t>
      </w:r>
      <w:r>
        <w:rPr>
          <w:rFonts w:ascii="Century Gothic" w:eastAsia="Century Gothic" w:hAnsi="Century Gothic" w:cs="Century Gothic"/>
          <w:color w:val="222222"/>
          <w:highlight w:val="white"/>
        </w:rPr>
        <w:t xml:space="preserve">(UCR), el Rector y la Vicerrectora de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Oscar </w:t>
      </w:r>
      <w:r w:rsidR="00511E0F">
        <w:rPr>
          <w:rFonts w:ascii="Century Gothic" w:eastAsia="Century Gothic" w:hAnsi="Century Gothic" w:cs="Century Gothic"/>
          <w:color w:val="222222"/>
          <w:highlight w:val="white"/>
        </w:rPr>
        <w:t xml:space="preserve">ALPA </w:t>
      </w:r>
      <w:r>
        <w:rPr>
          <w:rFonts w:ascii="Century Gothic" w:eastAsia="Century Gothic" w:hAnsi="Century Gothic" w:cs="Century Gothic"/>
          <w:color w:val="222222"/>
          <w:highlight w:val="white"/>
        </w:rPr>
        <w:t xml:space="preserve">y María Ema </w:t>
      </w:r>
      <w:r w:rsidR="00511E0F">
        <w:rPr>
          <w:rFonts w:ascii="Century Gothic" w:eastAsia="Century Gothic" w:hAnsi="Century Gothic" w:cs="Century Gothic"/>
          <w:color w:val="222222"/>
          <w:highlight w:val="white"/>
        </w:rPr>
        <w:t>MARTÍN</w:t>
      </w:r>
      <w:r>
        <w:rPr>
          <w:rFonts w:ascii="Century Gothic" w:eastAsia="Century Gothic" w:hAnsi="Century Gothic" w:cs="Century Gothic"/>
          <w:color w:val="222222"/>
          <w:highlight w:val="white"/>
        </w:rPr>
        <w:t>, los decanos de las siete facultades entre otros. En la misma se solicitó el acompañamiento en la Cámara Alta al proyecto de Ley de Financiamiento Universitario que cuenta con media sanción de Diputados. La normativa busca obtener un presupuesto adecuado para garantizar las funciones de docencia, investigación y extensión por lo que resta de 2024.</w:t>
      </w:r>
    </w:p>
    <w:p w14:paraId="00000007" w14:textId="25E2A006"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color w:val="222222"/>
          <w:highlight w:val="white"/>
        </w:rPr>
        <w:t xml:space="preserve">Acto de Colación de Grado: el día 04/09 se realizó el acto en el auditorio de la Facultad de Ciencias Veterinarias en conmemoración del 66º aniversario de creación de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En esta ocasión se graduaron dos (2) Ingenieros Electromecánicos, un (1) Ingeniero Electromecánico con orientación en Automatización Industrial y cuatro (4) Ingenieros Industriales. </w:t>
      </w:r>
    </w:p>
    <w:p w14:paraId="00000008" w14:textId="77777777"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proofErr w:type="spellStart"/>
      <w:r>
        <w:rPr>
          <w:rFonts w:ascii="Century Gothic" w:eastAsia="Century Gothic" w:hAnsi="Century Gothic" w:cs="Century Gothic"/>
          <w:color w:val="222222"/>
          <w:highlight w:val="white"/>
        </w:rPr>
        <w:t>Correcaminata</w:t>
      </w:r>
      <w:proofErr w:type="spellEnd"/>
      <w:r>
        <w:rPr>
          <w:rFonts w:ascii="Century Gothic" w:eastAsia="Century Gothic" w:hAnsi="Century Gothic" w:cs="Century Gothic"/>
          <w:color w:val="222222"/>
          <w:highlight w:val="white"/>
        </w:rPr>
        <w:t xml:space="preserve">: el día 08/09 se realizó en el predio de la Facultad de Ciencias Veterinarias la </w:t>
      </w:r>
      <w:proofErr w:type="spellStart"/>
      <w:r>
        <w:rPr>
          <w:rFonts w:ascii="Century Gothic" w:eastAsia="Century Gothic" w:hAnsi="Century Gothic" w:cs="Century Gothic"/>
          <w:color w:val="222222"/>
          <w:highlight w:val="white"/>
        </w:rPr>
        <w:t>correcaminata</w:t>
      </w:r>
      <w:proofErr w:type="spellEnd"/>
      <w:r>
        <w:rPr>
          <w:rFonts w:ascii="Century Gothic" w:eastAsia="Century Gothic" w:hAnsi="Century Gothic" w:cs="Century Gothic"/>
          <w:color w:val="222222"/>
          <w:highlight w:val="white"/>
        </w:rPr>
        <w:t xml:space="preserve"> en conmemoración del 66º aniversario de creación de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Por la Facultad participaron la Vicedecana y el </w:t>
      </w:r>
      <w:proofErr w:type="gramStart"/>
      <w:r>
        <w:rPr>
          <w:rFonts w:ascii="Century Gothic" w:eastAsia="Century Gothic" w:hAnsi="Century Gothic" w:cs="Century Gothic"/>
          <w:color w:val="222222"/>
          <w:highlight w:val="white"/>
        </w:rPr>
        <w:t>Secretario</w:t>
      </w:r>
      <w:proofErr w:type="gramEnd"/>
      <w:r>
        <w:rPr>
          <w:rFonts w:ascii="Century Gothic" w:eastAsia="Century Gothic" w:hAnsi="Century Gothic" w:cs="Century Gothic"/>
          <w:color w:val="222222"/>
          <w:highlight w:val="white"/>
        </w:rPr>
        <w:t xml:space="preserve"> Académico.</w:t>
      </w:r>
    </w:p>
    <w:p w14:paraId="00000009" w14:textId="77777777"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Acto Aniversario por el fallecimiento de Domingo F. Sarmiento: el día 11/09 se realizó el acto conmemorativo del 136º Aniversario del prócer. En representación de la Facultad asistió el Decano.</w:t>
      </w:r>
    </w:p>
    <w:p w14:paraId="0000000A" w14:textId="68095815"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Acto de aniversario de los 30 Años de la Fundación para el Desarrollo Regional, participó el equipo de gestión de la Facultad. En particular la vicedecana, Dra. Carolina </w:t>
      </w:r>
      <w:r w:rsidR="00511E0F">
        <w:rPr>
          <w:rFonts w:ascii="Century Gothic" w:eastAsia="Century Gothic" w:hAnsi="Century Gothic" w:cs="Century Gothic"/>
          <w:color w:val="222222"/>
          <w:highlight w:val="white"/>
        </w:rPr>
        <w:t>SALTO</w:t>
      </w:r>
      <w:r>
        <w:rPr>
          <w:rFonts w:ascii="Century Gothic" w:eastAsia="Century Gothic" w:hAnsi="Century Gothic" w:cs="Century Gothic"/>
          <w:color w:val="222222"/>
          <w:highlight w:val="white"/>
        </w:rPr>
        <w:t>, moderó el panel “La Transformación tecnológica”, realizando la introducción al mismo y en el que se disertaron expertos en la temática.</w:t>
      </w:r>
    </w:p>
    <w:p w14:paraId="0000000B" w14:textId="77777777" w:rsidR="00BB02AC" w:rsidRDefault="00BB02AC">
      <w:pPr>
        <w:spacing w:after="0" w:line="252" w:lineRule="auto"/>
        <w:ind w:left="720"/>
        <w:jc w:val="both"/>
        <w:rPr>
          <w:rFonts w:ascii="Century Gothic" w:eastAsia="Century Gothic" w:hAnsi="Century Gothic" w:cs="Century Gothic"/>
          <w:color w:val="222222"/>
          <w:highlight w:val="white"/>
        </w:rPr>
      </w:pPr>
    </w:p>
    <w:p w14:paraId="0000000C" w14:textId="77777777" w:rsidR="00BB02AC"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Académica:</w:t>
      </w:r>
    </w:p>
    <w:p w14:paraId="0000000D" w14:textId="77777777"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Seminario “ANALIZADORES DE GASES Y LÍQUIDOS PARA PROCESOS INDUSTRIALES”: comenzó el pasado 19 de septiembre con una asistencia de 22 personas inscriptas. </w:t>
      </w:r>
    </w:p>
    <w:p w14:paraId="0000000E" w14:textId="77777777"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Fondos para capacitación docente: la ejecución del presupuesto es de 46,5 %.</w:t>
      </w:r>
    </w:p>
    <w:p w14:paraId="0000000F" w14:textId="77777777" w:rsidR="00BB02AC" w:rsidRDefault="00000000">
      <w:pPr>
        <w:numPr>
          <w:ilvl w:val="0"/>
          <w:numId w:val="3"/>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Reunión por SACAU: se presentaron los resultados de las encuestas a docentes y estudiantes realizadas en la carrera Analista Programador, donde los resultados fueron similares a la estimación “holística”.</w:t>
      </w:r>
    </w:p>
    <w:p w14:paraId="00000010" w14:textId="77777777" w:rsidR="00BB02AC" w:rsidRDefault="00BB02AC">
      <w:pPr>
        <w:spacing w:after="0" w:line="252" w:lineRule="auto"/>
        <w:ind w:left="720"/>
        <w:jc w:val="both"/>
        <w:rPr>
          <w:rFonts w:ascii="Century Gothic" w:eastAsia="Century Gothic" w:hAnsi="Century Gothic" w:cs="Century Gothic"/>
        </w:rPr>
      </w:pPr>
    </w:p>
    <w:p w14:paraId="00000011" w14:textId="77777777" w:rsidR="00BB02AC"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Administrativa</w:t>
      </w:r>
    </w:p>
    <w:p w14:paraId="00000012" w14:textId="77777777"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Infraestructura: </w:t>
      </w:r>
    </w:p>
    <w:p w14:paraId="00000013" w14:textId="77777777" w:rsidR="00BB02AC"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t>Aulas Audiovisuales: sigue en la misma situación respecto al final de obra.</w:t>
      </w:r>
    </w:p>
    <w:p w14:paraId="00000014" w14:textId="77777777" w:rsidR="00BB02AC"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t>Obra de gas natural: la empresa contratista ha culminado las obras del proyecto general. Esto se concretó con la puesta en marcha de la nueva caldera que alimenta el circuito de los espacios ubicados a lo largo de la calle 9.</w:t>
      </w:r>
    </w:p>
    <w:p w14:paraId="00000015" w14:textId="77777777" w:rsidR="00BB02AC"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Conectividad: en respuesta a los reiterados pedidos de ampliación de la capacidad de ancho de banda contratada con </w:t>
      </w:r>
      <w:proofErr w:type="spellStart"/>
      <w:r>
        <w:rPr>
          <w:rFonts w:ascii="Century Gothic" w:eastAsia="Century Gothic" w:hAnsi="Century Gothic" w:cs="Century Gothic"/>
        </w:rPr>
        <w:t>Corpico</w:t>
      </w:r>
      <w:proofErr w:type="spellEnd"/>
      <w:r>
        <w:rPr>
          <w:rFonts w:ascii="Century Gothic" w:eastAsia="Century Gothic" w:hAnsi="Century Gothic" w:cs="Century Gothic"/>
        </w:rPr>
        <w:t xml:space="preserve">, la empresa ha accedido a duplicar dicha capacidad, pasando de 100 a 200 megas. Esta mejora permitirá optimizar el rendimiento en sectores específicos que dependen de esta conexión para sus operaciones. Además, el Rectorado ha retomado las negociaciones con </w:t>
      </w:r>
      <w:proofErr w:type="spellStart"/>
      <w:r>
        <w:rPr>
          <w:rFonts w:ascii="Century Gothic" w:eastAsia="Century Gothic" w:hAnsi="Century Gothic" w:cs="Century Gothic"/>
        </w:rPr>
        <w:t>Empatel</w:t>
      </w:r>
      <w:proofErr w:type="spellEnd"/>
      <w:r>
        <w:rPr>
          <w:rFonts w:ascii="Century Gothic" w:eastAsia="Century Gothic" w:hAnsi="Century Gothic" w:cs="Century Gothic"/>
        </w:rPr>
        <w:t xml:space="preserve"> con el objetivo de incrementar el enlace con Santa Rosa a 500 megas, lo que supondrá una mejora significativa en la capacidad de transmisión de datos hacia dicha localidad.</w:t>
      </w:r>
    </w:p>
    <w:p w14:paraId="00000016" w14:textId="77777777" w:rsidR="00BB02AC"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t>Con personal propio de mantenimiento se han comenzado tareas de pintura en aulas y oficinas.</w:t>
      </w:r>
    </w:p>
    <w:p w14:paraId="00000017" w14:textId="77777777"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rPr>
        <w:t>Equipamiento:</w:t>
      </w:r>
    </w:p>
    <w:p w14:paraId="00000018" w14:textId="77777777" w:rsidR="00BB02AC" w:rsidRDefault="00000000">
      <w:pPr>
        <w:numPr>
          <w:ilvl w:val="0"/>
          <w:numId w:val="1"/>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Se comenzaron a recibir equipamiento adquiridos en el marco de la reestructura del inciso 1 remanente del año 2023. </w:t>
      </w:r>
    </w:p>
    <w:p w14:paraId="00000019" w14:textId="49850961" w:rsidR="00BB02AC"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Presupuesto: Rectorado ha dispuesto un refuerzo presupuestario para funcionamiento (inc. 2 y 3). La característica particular de este refuerzo es que, por instructivo de la SPU, las partidas deben ser rendidas por lo que no pueden hacerse reestructuras para reforzar otros incisos. El monto del refuerzo es equivalente a lo establecido en el presupuesto 2024 de la Universidad para estos incisos. </w:t>
      </w:r>
    </w:p>
    <w:p w14:paraId="0000001A" w14:textId="77777777" w:rsidR="00BB02AC" w:rsidRDefault="00BB02AC">
      <w:pPr>
        <w:widowControl w:val="0"/>
        <w:spacing w:after="0" w:line="240" w:lineRule="auto"/>
        <w:jc w:val="both"/>
        <w:rPr>
          <w:rFonts w:ascii="Century Gothic" w:eastAsia="Century Gothic" w:hAnsi="Century Gothic" w:cs="Century Gothic"/>
          <w:b/>
        </w:rPr>
      </w:pPr>
    </w:p>
    <w:p w14:paraId="0000001B" w14:textId="77777777" w:rsidR="00BB02AC"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de Ciencia y Técnica</w:t>
      </w:r>
    </w:p>
    <w:p w14:paraId="0000001C" w14:textId="2BA5C642" w:rsidR="00BB02AC" w:rsidRDefault="00000000">
      <w:pPr>
        <w:numPr>
          <w:ilvl w:val="0"/>
          <w:numId w:val="3"/>
        </w:numPr>
        <w:pBdr>
          <w:top w:val="nil"/>
          <w:left w:val="nil"/>
          <w:bottom w:val="nil"/>
          <w:right w:val="nil"/>
          <w:between w:val="nil"/>
        </w:pBd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El estudiante Julián </w:t>
      </w:r>
      <w:r w:rsidR="00511E0F">
        <w:rPr>
          <w:rFonts w:ascii="Century Gothic" w:eastAsia="Century Gothic" w:hAnsi="Century Gothic" w:cs="Century Gothic"/>
          <w:color w:val="222222"/>
          <w:highlight w:val="white"/>
        </w:rPr>
        <w:t xml:space="preserve">VALINOTTI </w:t>
      </w:r>
      <w:r>
        <w:rPr>
          <w:rFonts w:ascii="Century Gothic" w:eastAsia="Century Gothic" w:hAnsi="Century Gothic" w:cs="Century Gothic"/>
          <w:color w:val="222222"/>
          <w:highlight w:val="white"/>
        </w:rPr>
        <w:t>participó del encuentro "Ingenia Voz" que se desarrolló en el marco del 7º Congreso Argentino de Ingeniería y el 13º Congreso Argentino de Enseñanza de la Ingeniería que tuvo lugar el pasado 5 de septiembre en la provincia de San Juan. En esta oportunidad, el estudiante presentó su trabajo titulado "La Ingeniería es arte", siendo parte de las ponencias y conferencias del evento.</w:t>
      </w:r>
    </w:p>
    <w:p w14:paraId="0000001D" w14:textId="77777777" w:rsidR="00BB02AC" w:rsidRDefault="00000000">
      <w:pPr>
        <w:numPr>
          <w:ilvl w:val="0"/>
          <w:numId w:val="3"/>
        </w:numPr>
        <w:pBdr>
          <w:top w:val="nil"/>
          <w:left w:val="nil"/>
          <w:bottom w:val="nil"/>
          <w:right w:val="nil"/>
          <w:between w:val="nil"/>
        </w:pBd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Consejo Editor de Revistas Académicas y Científicas (CERAC): Se hizo una revisión de las políticas actuales de accesibilidad y establecer estrategias de colaboración con la Comisión de Accesibilidad de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Desde la Facultad pusimos a disposición la experiencia de desarrollo en guías de Accesibilidad Web de nuestros Grupos de I+D, para los portales ya que actualmente no se cumplen determinados estándares de accesibilidad ni en las revistas, ni en el portal en su conjunto.</w:t>
      </w:r>
    </w:p>
    <w:p w14:paraId="0000001E" w14:textId="77777777" w:rsidR="00BB02AC" w:rsidRDefault="00000000">
      <w:pPr>
        <w:numPr>
          <w:ilvl w:val="0"/>
          <w:numId w:val="3"/>
        </w:numPr>
        <w:pBdr>
          <w:top w:val="nil"/>
          <w:left w:val="nil"/>
          <w:bottom w:val="nil"/>
          <w:right w:val="nil"/>
          <w:between w:val="nil"/>
        </w:pBd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Participación del Grupo DIVI en I-COMEX La Pampa </w:t>
      </w:r>
      <w:proofErr w:type="spellStart"/>
      <w:r>
        <w:rPr>
          <w:rFonts w:ascii="Century Gothic" w:eastAsia="Century Gothic" w:hAnsi="Century Gothic" w:cs="Century Gothic"/>
          <w:color w:val="222222"/>
          <w:highlight w:val="white"/>
        </w:rPr>
        <w:t>GameJam</w:t>
      </w:r>
      <w:proofErr w:type="spellEnd"/>
      <w:r>
        <w:rPr>
          <w:rFonts w:ascii="Century Gothic" w:eastAsia="Century Gothic" w:hAnsi="Century Gothic" w:cs="Century Gothic"/>
          <w:color w:val="222222"/>
          <w:highlight w:val="white"/>
        </w:rPr>
        <w:t>. Participaron dos grupos desarrollando videojuegos durante dos meses. El grupo 2 de DIVI llegó a la final presentando un prototipo de videojuegos sobre la exportación genética de ganado bovino.</w:t>
      </w:r>
    </w:p>
    <w:p w14:paraId="0000001F" w14:textId="77777777" w:rsidR="00BB02AC" w:rsidRDefault="00000000">
      <w:pPr>
        <w:numPr>
          <w:ilvl w:val="0"/>
          <w:numId w:val="3"/>
        </w:numPr>
        <w:pBdr>
          <w:top w:val="nil"/>
          <w:left w:val="nil"/>
          <w:bottom w:val="nil"/>
          <w:right w:val="nil"/>
          <w:between w:val="nil"/>
        </w:pBd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Consejo de Investigación y Postgrado: Programa de </w:t>
      </w:r>
      <w:proofErr w:type="spellStart"/>
      <w:r>
        <w:rPr>
          <w:rFonts w:ascii="Century Gothic" w:eastAsia="Century Gothic" w:hAnsi="Century Gothic" w:cs="Century Gothic"/>
          <w:color w:val="222222"/>
          <w:highlight w:val="white"/>
        </w:rPr>
        <w:t>terminalidad</w:t>
      </w:r>
      <w:proofErr w:type="spellEnd"/>
      <w:r>
        <w:rPr>
          <w:rFonts w:ascii="Century Gothic" w:eastAsia="Century Gothic" w:hAnsi="Century Gothic" w:cs="Century Gothic"/>
          <w:color w:val="222222"/>
          <w:highlight w:val="white"/>
        </w:rPr>
        <w:t xml:space="preserve"> de doctorado, se aprobaron nueve becas para toda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Se trata de la segunda convocatoria a Becas para la </w:t>
      </w:r>
      <w:proofErr w:type="spellStart"/>
      <w:r>
        <w:rPr>
          <w:rFonts w:ascii="Century Gothic" w:eastAsia="Century Gothic" w:hAnsi="Century Gothic" w:cs="Century Gothic"/>
          <w:color w:val="222222"/>
          <w:highlight w:val="white"/>
        </w:rPr>
        <w:t>Terminalidad</w:t>
      </w:r>
      <w:proofErr w:type="spellEnd"/>
      <w:r>
        <w:rPr>
          <w:rFonts w:ascii="Century Gothic" w:eastAsia="Century Gothic" w:hAnsi="Century Gothic" w:cs="Century Gothic"/>
          <w:color w:val="222222"/>
          <w:highlight w:val="white"/>
        </w:rPr>
        <w:t xml:space="preserve"> de estudios de Doctorado, cuyo financiamiento proviene de la ex Secretaría de Políticas Universitarias. Se obtuvieron 2 (dos) becas para doctorandos de nuestra Facultad.</w:t>
      </w:r>
    </w:p>
    <w:p w14:paraId="00000020" w14:textId="77777777" w:rsidR="00BB02AC" w:rsidRDefault="00000000">
      <w:pPr>
        <w:numPr>
          <w:ilvl w:val="0"/>
          <w:numId w:val="3"/>
        </w:numPr>
        <w:pBdr>
          <w:top w:val="nil"/>
          <w:left w:val="nil"/>
          <w:bottom w:val="nil"/>
          <w:right w:val="nil"/>
          <w:between w:val="nil"/>
        </w:pBd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Consejo de Extensión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Se aprobó la realización de XII Jornada Institucional de Extensión Universitaria y I Encuentro Estudiantil de Prácticas Comunitarias para el 28 de noviembre de este año. </w:t>
      </w:r>
    </w:p>
    <w:p w14:paraId="00000021" w14:textId="77777777" w:rsidR="00BB02AC" w:rsidRDefault="00BB02AC">
      <w:pPr>
        <w:spacing w:after="0" w:line="252" w:lineRule="auto"/>
        <w:jc w:val="both"/>
        <w:rPr>
          <w:rFonts w:ascii="Century Gothic" w:eastAsia="Century Gothic" w:hAnsi="Century Gothic" w:cs="Century Gothic"/>
        </w:rPr>
      </w:pPr>
    </w:p>
    <w:sectPr w:rsidR="00BB02AC">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4C74C" w14:textId="77777777" w:rsidR="00EE3226" w:rsidRDefault="00EE3226">
      <w:pPr>
        <w:spacing w:after="0" w:line="240" w:lineRule="auto"/>
      </w:pPr>
      <w:r>
        <w:separator/>
      </w:r>
    </w:p>
  </w:endnote>
  <w:endnote w:type="continuationSeparator" w:id="0">
    <w:p w14:paraId="0D1D26C9" w14:textId="77777777" w:rsidR="00EE3226" w:rsidRDefault="00EE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99FD18CC-9E95-46DB-852A-BF3350A9461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8A91D7-FF4F-4DF0-9315-633F91B9B8B4}"/>
    <w:embedBold r:id="rId3" w:fontKey="{0BE77027-1B34-409A-9CD5-5726590E3B4D}"/>
  </w:font>
  <w:font w:name="Georgia">
    <w:panose1 w:val="02040502050405020303"/>
    <w:charset w:val="00"/>
    <w:family w:val="auto"/>
    <w:pitch w:val="default"/>
    <w:embedRegular r:id="rId4" w:fontKey="{D1EF4812-2AC6-40CD-B2A6-017CB4E3079F}"/>
    <w:embedItalic r:id="rId5" w:fontKey="{8FF4CD1B-327F-48A7-89C7-92C0272A6251}"/>
  </w:font>
  <w:font w:name="Century Gothic">
    <w:panose1 w:val="020B0502020202020204"/>
    <w:charset w:val="00"/>
    <w:family w:val="swiss"/>
    <w:pitch w:val="variable"/>
    <w:sig w:usb0="00000287" w:usb1="00000000" w:usb2="00000000" w:usb3="00000000" w:csb0="0000009F" w:csb1="00000000"/>
    <w:embedRegular r:id="rId6" w:fontKey="{207351AA-04E8-4683-8677-039B2D9E0E4E}"/>
    <w:embedBold r:id="rId7" w:fontKey="{08EA543F-5332-4FBB-AA35-69A42EEFF5C8}"/>
    <w:embedBoldItalic r:id="rId8" w:fontKey="{47FC6CD7-B207-4F57-A520-9F90E7CB8B87}"/>
  </w:font>
  <w:font w:name="Cambria">
    <w:panose1 w:val="02040503050406030204"/>
    <w:charset w:val="00"/>
    <w:family w:val="roman"/>
    <w:pitch w:val="variable"/>
    <w:sig w:usb0="E00006FF" w:usb1="420024FF" w:usb2="02000000" w:usb3="00000000" w:csb0="0000019F" w:csb1="00000000"/>
    <w:embedRegular r:id="rId9" w:fontKey="{C5222944-11DB-4C88-8092-D65194569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BB02AC" w:rsidRDefault="00BB02AC"/>
  <w:p w14:paraId="0000003E" w14:textId="77777777" w:rsidR="00BB02AC" w:rsidRDefault="00BB02AC"/>
  <w:p w14:paraId="0000003F" w14:textId="77777777" w:rsidR="00BB02AC" w:rsidRDefault="00BB02AC"/>
  <w:p w14:paraId="00000040" w14:textId="77777777" w:rsidR="00BB02AC" w:rsidRDefault="00BB02AC"/>
  <w:p w14:paraId="00000041" w14:textId="77777777" w:rsidR="00BB02AC" w:rsidRDefault="00BB02AC"/>
  <w:p w14:paraId="00000042" w14:textId="77777777" w:rsidR="00BB02AC" w:rsidRDefault="00BB02AC"/>
  <w:p w14:paraId="00000043" w14:textId="77777777" w:rsidR="00BB02AC" w:rsidRDefault="00BB02AC"/>
  <w:p w14:paraId="00000044" w14:textId="77777777" w:rsidR="00BB02AC" w:rsidRDefault="00BB02AC"/>
  <w:p w14:paraId="00000045" w14:textId="77777777" w:rsidR="00BB02AC" w:rsidRDefault="00BB02AC"/>
  <w:p w14:paraId="00000046" w14:textId="77777777" w:rsidR="00BB02AC" w:rsidRDefault="00BB02AC"/>
  <w:p w14:paraId="00000047" w14:textId="77777777" w:rsidR="00BB02AC" w:rsidRDefault="00BB02AC"/>
  <w:p w14:paraId="00000048" w14:textId="77777777" w:rsidR="00BB02AC" w:rsidRDefault="00BB02AC"/>
  <w:p w14:paraId="00000049" w14:textId="77777777" w:rsidR="00BB02AC" w:rsidRDefault="00BB02AC"/>
  <w:p w14:paraId="0000004A" w14:textId="77777777" w:rsidR="00BB02AC" w:rsidRDefault="00BB02AC"/>
  <w:p w14:paraId="0000004B" w14:textId="77777777" w:rsidR="00BB02AC" w:rsidRDefault="00BB02AC"/>
  <w:p w14:paraId="0000004C" w14:textId="77777777" w:rsidR="00BB02AC" w:rsidRDefault="00BB02AC"/>
  <w:p w14:paraId="0000004D" w14:textId="77777777" w:rsidR="00BB02AC" w:rsidRDefault="00BB02AC"/>
  <w:p w14:paraId="0000004E" w14:textId="77777777" w:rsidR="00BB02AC" w:rsidRDefault="00BB02AC"/>
  <w:p w14:paraId="0000004F" w14:textId="77777777" w:rsidR="00BB02AC" w:rsidRDefault="00BB02AC"/>
  <w:p w14:paraId="00000050" w14:textId="77777777" w:rsidR="00BB02AC" w:rsidRDefault="00BB02AC"/>
  <w:p w14:paraId="00000051" w14:textId="77777777" w:rsidR="00BB02AC" w:rsidRDefault="00BB02AC"/>
  <w:p w14:paraId="00000052" w14:textId="77777777" w:rsidR="00BB02AC" w:rsidRDefault="00BB02AC"/>
  <w:p w14:paraId="00000053" w14:textId="77777777" w:rsidR="00BB02AC" w:rsidRDefault="00BB02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A" w14:textId="16716E40" w:rsidR="00BB02AC" w:rsidRDefault="00000000">
    <w:pPr>
      <w:jc w:val="right"/>
    </w:pPr>
    <w:r>
      <w:t xml:space="preserve">Pág. </w:t>
    </w:r>
    <w:r>
      <w:fldChar w:fldCharType="begin"/>
    </w:r>
    <w:r>
      <w:instrText>PAGE</w:instrText>
    </w:r>
    <w:r>
      <w:fldChar w:fldCharType="separate"/>
    </w:r>
    <w:r w:rsidR="00511E0F">
      <w:rPr>
        <w:noProof/>
      </w:rPr>
      <w:t>1</w:t>
    </w:r>
    <w:r>
      <w:fldChar w:fldCharType="end"/>
    </w:r>
    <w:r>
      <w:t>/</w:t>
    </w:r>
    <w:r>
      <w:fldChar w:fldCharType="begin"/>
    </w:r>
    <w:r>
      <w:instrText>NUMPAGES</w:instrText>
    </w:r>
    <w:r>
      <w:fldChar w:fldCharType="separate"/>
    </w:r>
    <w:r w:rsidR="00511E0F">
      <w:rPr>
        <w:noProof/>
      </w:rPr>
      <w:t>2</w:t>
    </w:r>
    <w:r>
      <w:fldChar w:fldCharType="end"/>
    </w:r>
  </w:p>
  <w:p w14:paraId="0000003B" w14:textId="77777777" w:rsidR="00BB02AC" w:rsidRDefault="00BB02AC"/>
  <w:p w14:paraId="0000003C" w14:textId="77777777" w:rsidR="00BB02AC" w:rsidRDefault="00BB02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1EE34" w14:textId="77777777" w:rsidR="00EE3226" w:rsidRDefault="00EE3226">
      <w:pPr>
        <w:spacing w:after="0" w:line="240" w:lineRule="auto"/>
      </w:pPr>
      <w:r>
        <w:separator/>
      </w:r>
    </w:p>
  </w:footnote>
  <w:footnote w:type="continuationSeparator" w:id="0">
    <w:p w14:paraId="5F6AD249" w14:textId="77777777" w:rsidR="00EE3226" w:rsidRDefault="00EE3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BB02AC" w:rsidRDefault="00BB02AC"/>
  <w:p w14:paraId="00000024" w14:textId="77777777" w:rsidR="00BB02AC" w:rsidRDefault="00BB02AC"/>
  <w:p w14:paraId="00000025" w14:textId="77777777" w:rsidR="00BB02AC" w:rsidRDefault="00BB02AC"/>
  <w:p w14:paraId="00000026" w14:textId="77777777" w:rsidR="00BB02AC" w:rsidRDefault="00BB02AC"/>
  <w:p w14:paraId="00000027" w14:textId="77777777" w:rsidR="00BB02AC" w:rsidRDefault="00BB02AC"/>
  <w:p w14:paraId="00000028" w14:textId="77777777" w:rsidR="00BB02AC" w:rsidRDefault="00BB02AC"/>
  <w:p w14:paraId="00000029" w14:textId="77777777" w:rsidR="00BB02AC" w:rsidRDefault="00BB02AC"/>
  <w:p w14:paraId="0000002A" w14:textId="77777777" w:rsidR="00BB02AC" w:rsidRDefault="00BB02AC"/>
  <w:p w14:paraId="0000002B" w14:textId="77777777" w:rsidR="00BB02AC" w:rsidRDefault="00BB02AC"/>
  <w:p w14:paraId="0000002C" w14:textId="77777777" w:rsidR="00BB02AC" w:rsidRDefault="00BB02AC"/>
  <w:p w14:paraId="0000002D" w14:textId="77777777" w:rsidR="00BB02AC" w:rsidRDefault="00BB02AC"/>
  <w:p w14:paraId="0000002E" w14:textId="77777777" w:rsidR="00BB02AC" w:rsidRDefault="00BB02AC"/>
  <w:p w14:paraId="0000002F" w14:textId="77777777" w:rsidR="00BB02AC" w:rsidRDefault="00BB02AC"/>
  <w:p w14:paraId="00000030" w14:textId="77777777" w:rsidR="00BB02AC" w:rsidRDefault="00BB02AC"/>
  <w:p w14:paraId="00000031" w14:textId="77777777" w:rsidR="00BB02AC" w:rsidRDefault="00BB02AC"/>
  <w:p w14:paraId="00000032" w14:textId="77777777" w:rsidR="00BB02AC" w:rsidRDefault="00BB02AC"/>
  <w:p w14:paraId="00000033" w14:textId="77777777" w:rsidR="00BB02AC" w:rsidRDefault="00BB02AC"/>
  <w:p w14:paraId="00000034" w14:textId="77777777" w:rsidR="00BB02AC" w:rsidRDefault="00BB02AC"/>
  <w:p w14:paraId="00000035" w14:textId="77777777" w:rsidR="00BB02AC" w:rsidRDefault="00BB02AC"/>
  <w:p w14:paraId="00000036" w14:textId="77777777" w:rsidR="00BB02AC" w:rsidRDefault="00BB02AC"/>
  <w:p w14:paraId="00000037" w14:textId="77777777" w:rsidR="00BB02AC" w:rsidRDefault="00BB02AC"/>
  <w:p w14:paraId="00000038" w14:textId="77777777" w:rsidR="00BB02AC" w:rsidRDefault="00BB02AC"/>
  <w:p w14:paraId="00000039" w14:textId="77777777" w:rsidR="00BB02AC" w:rsidRDefault="00BB02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77777777" w:rsidR="00BB02AC" w:rsidRDefault="00BB02AC">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7A232A"/>
    <w:multiLevelType w:val="multilevel"/>
    <w:tmpl w:val="81062672"/>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937C77"/>
    <w:multiLevelType w:val="multilevel"/>
    <w:tmpl w:val="73748A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1990030"/>
    <w:multiLevelType w:val="multilevel"/>
    <w:tmpl w:val="C1A68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5534736">
    <w:abstractNumId w:val="1"/>
  </w:num>
  <w:num w:numId="2" w16cid:durableId="1542324474">
    <w:abstractNumId w:val="2"/>
  </w:num>
  <w:num w:numId="3" w16cid:durableId="8037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AC"/>
    <w:rsid w:val="00426D86"/>
    <w:rsid w:val="00511E0F"/>
    <w:rsid w:val="00BB02AC"/>
    <w:rsid w:val="00EE32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ABA09-4F9C-4D06-8B11-E2CB796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U/wotwATGO+JKkNs8BhEbF/Cw==">CgMxLjAyCGguZ2pkZ3hzOAByITFLT3ZlRmFRemRQOHZkeDVydklrTmhia29IWmdjY2hTcA==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919</Words>
  <Characters>5058</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2</cp:revision>
  <dcterms:created xsi:type="dcterms:W3CDTF">2024-10-02T11:35:00Z</dcterms:created>
  <dcterms:modified xsi:type="dcterms:W3CDTF">2024-10-02T11:38:00Z</dcterms:modified>
</cp:coreProperties>
</file>