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i w:val="1"/>
          <w:u w:val="single"/>
        </w:rPr>
      </w:pPr>
      <w:r w:rsidDel="00000000" w:rsidR="00000000" w:rsidRPr="00000000">
        <w:rPr>
          <w:rFonts w:ascii="Arial" w:cs="Arial" w:eastAsia="Arial" w:hAnsi="Arial"/>
          <w:b w:val="1"/>
          <w:u w:val="single"/>
          <w:rtl w:val="0"/>
        </w:rPr>
        <w:t xml:space="preserve">Informe De Presidencia </w:t>
      </w: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b w:val="1"/>
          <w:u w:val="single"/>
          <w:rtl w:val="0"/>
        </w:rPr>
        <w:t xml:space="preserve">3° Reunión Ordinaria Consejo Directivo – 27-04-2023– Modalidad Combinada</w:t>
      </w:r>
    </w:p>
    <w:p w:rsidR="00000000" w:rsidDel="00000000" w:rsidP="00000000" w:rsidRDefault="00000000" w:rsidRPr="00000000" w14:paraId="00000003">
      <w:pPr>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04">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Decanato</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Viaje a Buenos Aires: El día 05/04 estudiantes y un docente de la Facultad de Ingeniería de la UNLPam asistieron al lanzamiento de la Becas Manuel Belgrano, además, realizaron diferentes actividades en el Centro Atómico Ezeiza (CAE), en Buenos Aires. Estuvo presente el Ministro de Educación Jaime Perczyk.</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Asamblea Universitaria: El día 12/04 se realizó la asamblea universitaria donde se aprobó por unanimidad la creación de la Facultad de Ciencias de la Salud con sedes en Santa Rosa y General Pico. Ésta inicialmente va a contar con un Decano Organizador, dos secretarios y cuatro Nodocentes. Además se aprobó la reforma del estatuto en sus primeros capítulos (referidos a la sede de la UNLPam y disposiciones transitorias para el funcionamiento de la nueva facultad), cambiar el término No docente por Nodocente y convocar a una nueva asamblea en el plazo de un año para hacer una reforma integral del estatuto donde se incluya el lenguaje no sexista y la participación política de la docencia preuniversitaria.</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Colación de grado: El 17/04 se realizó el acto de colación de grado donde recibieron el diploma dos (2) Ingenieros Electromecánicos, un (1) Ingeniero Industrial y tres (3) Ingenieros en Sistemas.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Consejo Superior: En la reunión del 05/04 se aprobó la creación de </w:t>
      </w:r>
      <w:r w:rsidDel="00000000" w:rsidR="00000000" w:rsidRPr="00000000">
        <w:rPr>
          <w:rFonts w:ascii="Arial" w:cs="Arial" w:eastAsia="Arial" w:hAnsi="Arial"/>
          <w:rtl w:val="0"/>
        </w:rPr>
        <w:t xml:space="preserve">la carrera de posgrado interinstitucional “Doctorado en Ciencias Económicas”, entre la Universidad Nacional de La Pampa (UNLPam), la Universidad Nacional de la Patagonia Austral (UNPA), la Universidad Nacional de la Patagonia San Juan Bosco (UNPSJB), la Universidad Nacional de Río Negro (UNRN), la Universidad Nacional de Tierra del Fuego e Islas del Atlántico Sur (UNTDF) y la Universidad Nacional del Comahue (UNCo) y la creación de la carrera de posgrado interinstitucional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Doctorado en Derecho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entre la Universidad Nacional de La Pampa (UNLPam), la Universidad Nacional del Centro de la Provincia de Buenos Aires (UNICEN) y la Universidad Nacional del Sur (UNS), ambas a desarrollarse en la Facultad de Ciencias Económicas y Jurídicas.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En la reunión del 19/04 se aprobó el presupuesto 2023 de la UNLPam y la creación de la carrera de posgrado interinstitucional “Doctorado en Estudios Contemporáneos en Educación”, dictado de manera conjunta por la Universidad Nacional de La Patagonia Austral, la Universidad Nacional de La Patagonia San Juan Bosco, la Universidad Nacional de Río Negro, la Universidad Nacional de Tierra del Fuego, Antártida e Islas del Atlántico Sur y la Universidad Nacional de La Pampa, en este caso a través de la Facultad de Ciencias Humanas.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Donación </w:t>
      </w:r>
      <w:r w:rsidDel="00000000" w:rsidR="00000000" w:rsidRPr="00000000">
        <w:rPr>
          <w:rFonts w:ascii="Arial" w:cs="Arial" w:eastAsia="Arial" w:hAnsi="Arial"/>
          <w:rtl w:val="0"/>
        </w:rPr>
        <w:t xml:space="preserve">de PC: El día 21/04 se realizó la donación de las tres (3) PCs de escritorio a la Policía Federal Argentina.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Reestructura inciso 1: Se está elaborando una propuesta para hacer una reestructura del inciso 1 con los excedentes que hubo en el año 2022.</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Tecnicatura en Telecomunicaciones: El director de la carrera Ingeniería en Computación con un grupo de docentes del área de redes están elaborando una propuesta de una nueva oferta educativa.</w:t>
      </w:r>
      <w:r w:rsidDel="00000000" w:rsidR="00000000" w:rsidRPr="00000000">
        <w:rPr>
          <w:rtl w:val="0"/>
        </w:rPr>
      </w:r>
    </w:p>
    <w:p w:rsidR="00000000" w:rsidDel="00000000" w:rsidP="00000000" w:rsidRDefault="00000000" w:rsidRPr="00000000" w14:paraId="0000000C">
      <w:pPr>
        <w:spacing w:after="0" w:line="254"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Secretaría Académica</w:t>
      </w:r>
    </w:p>
    <w:p w:rsidR="00000000" w:rsidDel="00000000" w:rsidP="00000000" w:rsidRDefault="00000000" w:rsidRPr="00000000" w14:paraId="0000000E">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Internacionales</w:t>
      </w:r>
    </w:p>
    <w:p w:rsidR="00000000" w:rsidDel="00000000" w:rsidP="00000000" w:rsidRDefault="00000000" w:rsidRPr="00000000" w14:paraId="0000000F">
      <w:pPr>
        <w:spacing w:after="0" w:line="252.00000000000003"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Convocatoria (ARFITEC-SPU)</w:t>
      </w:r>
    </w:p>
    <w:p w:rsidR="00000000" w:rsidDel="00000000" w:rsidP="00000000" w:rsidRDefault="00000000" w:rsidRPr="00000000" w14:paraId="00000010">
      <w:pPr>
        <w:spacing w:after="0" w:line="252.00000000000003" w:lineRule="auto"/>
        <w:ind w:left="720" w:firstLine="0"/>
        <w:jc w:val="both"/>
        <w:rPr>
          <w:rFonts w:ascii="Arial" w:cs="Arial" w:eastAsia="Arial" w:hAnsi="Arial"/>
        </w:rPr>
      </w:pPr>
      <w:r w:rsidDel="00000000" w:rsidR="00000000" w:rsidRPr="00000000">
        <w:rPr>
          <w:rFonts w:ascii="Arial" w:cs="Arial" w:eastAsia="Arial" w:hAnsi="Arial"/>
          <w:rtl w:val="0"/>
        </w:rPr>
        <w:t xml:space="preserve">Esta convocatoria tiene como propósito crear y consolidar vínculos de cooperación duraderos entre las instituciones de enseñanza superior argentinas y francesas responsables de la formación de ingenieros de ambos países. </w:t>
      </w:r>
    </w:p>
    <w:p w:rsidR="00000000" w:rsidDel="00000000" w:rsidP="00000000" w:rsidRDefault="00000000" w:rsidRPr="00000000" w14:paraId="00000011">
      <w:pPr>
        <w:spacing w:after="0" w:line="252.00000000000003" w:lineRule="auto"/>
        <w:ind w:left="720" w:firstLine="0"/>
        <w:jc w:val="both"/>
        <w:rPr>
          <w:rFonts w:ascii="Arial" w:cs="Arial" w:eastAsia="Arial" w:hAnsi="Arial"/>
        </w:rPr>
      </w:pPr>
      <w:r w:rsidDel="00000000" w:rsidR="00000000" w:rsidRPr="00000000">
        <w:rPr>
          <w:rFonts w:ascii="Arial" w:cs="Arial" w:eastAsia="Arial" w:hAnsi="Arial"/>
          <w:rtl w:val="0"/>
        </w:rPr>
        <w:t xml:space="preserve">En Argentina, podrán presentarse las carreras de grado de ingeniería dictadas en universidades nacionales de gestión pública, cuyo título tenga validez nacional reconocida</w:t>
      </w:r>
    </w:p>
    <w:p w:rsidR="00000000" w:rsidDel="00000000" w:rsidP="00000000" w:rsidRDefault="00000000" w:rsidRPr="00000000" w14:paraId="00000012">
      <w:pPr>
        <w:spacing w:after="0" w:line="252.00000000000003" w:lineRule="auto"/>
        <w:ind w:left="720" w:firstLine="0"/>
        <w:jc w:val="both"/>
        <w:rPr>
          <w:rFonts w:ascii="Arial" w:cs="Arial" w:eastAsia="Arial" w:hAnsi="Arial"/>
        </w:rPr>
      </w:pPr>
      <w:r w:rsidDel="00000000" w:rsidR="00000000" w:rsidRPr="00000000">
        <w:rPr>
          <w:rFonts w:ascii="Arial" w:cs="Arial" w:eastAsia="Arial" w:hAnsi="Arial"/>
          <w:rtl w:val="0"/>
        </w:rPr>
        <w:t xml:space="preserve">por el Ministerio de Educación y cuenten con acreditación vigente por SEIS (6) años.</w:t>
      </w:r>
    </w:p>
    <w:p w:rsidR="00000000" w:rsidDel="00000000" w:rsidP="00000000" w:rsidRDefault="00000000" w:rsidRPr="00000000" w14:paraId="00000013">
      <w:pPr>
        <w:spacing w:after="0" w:line="252.00000000000003" w:lineRule="auto"/>
        <w:ind w:left="720" w:firstLine="0"/>
        <w:jc w:val="both"/>
        <w:rPr>
          <w:rFonts w:ascii="Arial" w:cs="Arial" w:eastAsia="Arial" w:hAnsi="Arial"/>
        </w:rPr>
      </w:pPr>
      <w:r w:rsidDel="00000000" w:rsidR="00000000" w:rsidRPr="00000000">
        <w:rPr>
          <w:rFonts w:ascii="Arial" w:cs="Arial" w:eastAsia="Arial" w:hAnsi="Arial"/>
          <w:rtl w:val="0"/>
        </w:rPr>
        <w:t xml:space="preserve">Se realizó una reunión entre el área de Movilidad Internacional de la UNLPam y los directores de carrera de Ingeniería Electromecánica e Ingeniería Industrial,  a los efectos de visualizar potenciales proyectos de intercambio.</w:t>
      </w:r>
    </w:p>
    <w:p w:rsidR="00000000" w:rsidDel="00000000" w:rsidP="00000000" w:rsidRDefault="00000000" w:rsidRPr="00000000" w14:paraId="00000014">
      <w:pPr>
        <w:spacing w:after="0" w:line="252.00000000000003"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Movilidad Estudiantil Programas PILA-CIN y PAME-UDUAL</w:t>
      </w:r>
    </w:p>
    <w:p w:rsidR="00000000" w:rsidDel="00000000" w:rsidP="00000000" w:rsidRDefault="00000000" w:rsidRPr="00000000" w14:paraId="00000015">
      <w:pPr>
        <w:spacing w:after="0" w:line="252.00000000000003" w:lineRule="auto"/>
        <w:ind w:left="720" w:firstLine="0"/>
        <w:jc w:val="both"/>
        <w:rPr>
          <w:rFonts w:ascii="Arial" w:cs="Arial" w:eastAsia="Arial" w:hAnsi="Arial"/>
        </w:rPr>
      </w:pPr>
      <w:r w:rsidDel="00000000" w:rsidR="00000000" w:rsidRPr="00000000">
        <w:rPr>
          <w:rFonts w:ascii="Arial" w:cs="Arial" w:eastAsia="Arial" w:hAnsi="Arial"/>
          <w:rtl w:val="0"/>
        </w:rPr>
        <w:t xml:space="preserve">Se dispone de SEIS (6) becas de movilidad internacional para el segundo cuatrimestre de 2023 con destino a Universidades de Colombia y México. Se  asignaron 4 plazas a quienes cumplian con las condiciones y quedaron vacantes una plaza para Universidad del Sinú y una plaza para el Instituto Tecnológico de Querétaro, que permanece abierto hasta mediados de junio, esta última con carreras afines a las de Ingeniería. Las carreras disponibles son Ing. Eléctrica, Ing. Electrónica, Ing. Industrial, Ing. en Gestión Empresarial, Ing. Logística, Ing. Mecánica, Ing. en Materiales, Ing. en Mecatrónica, Ing. en Sistemas Computacionales</w:t>
      </w:r>
    </w:p>
    <w:p w:rsidR="00000000" w:rsidDel="00000000" w:rsidP="00000000" w:rsidRDefault="00000000" w:rsidRPr="00000000" w14:paraId="00000016">
      <w:pPr>
        <w:spacing w:after="0" w:line="252.00000000000003"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Universidad Antonio Camacho (Colombia</w:t>
      </w:r>
      <w:r w:rsidDel="00000000" w:rsidR="00000000" w:rsidRPr="00000000">
        <w:rPr>
          <w:rFonts w:ascii="Arial" w:cs="Arial" w:eastAsia="Arial" w:hAnsi="Arial"/>
          <w:rtl w:val="0"/>
        </w:rPr>
        <w:t xml:space="preserve">),</w:t>
      </w:r>
    </w:p>
    <w:p w:rsidR="00000000" w:rsidDel="00000000" w:rsidP="00000000" w:rsidRDefault="00000000" w:rsidRPr="00000000" w14:paraId="00000017">
      <w:pPr>
        <w:spacing w:after="0" w:line="252.00000000000003" w:lineRule="auto"/>
        <w:ind w:left="720" w:firstLine="0"/>
        <w:jc w:val="both"/>
        <w:rPr>
          <w:rFonts w:ascii="Arial" w:cs="Arial" w:eastAsia="Arial" w:hAnsi="Arial"/>
        </w:rPr>
      </w:pPr>
      <w:r w:rsidDel="00000000" w:rsidR="00000000" w:rsidRPr="00000000">
        <w:rPr>
          <w:rFonts w:ascii="Arial" w:cs="Arial" w:eastAsia="Arial" w:hAnsi="Arial"/>
          <w:rtl w:val="0"/>
        </w:rPr>
        <w:t xml:space="preserve">En el marco del convenio bilateral con nuestra Universidad, se han comunicado con la siguiente consulta: "...a nuestro Director de los Programa, Tecnología en Electrónica Industrial, Tecnología en Sistemas de Información Acreditados de alta calidad por el Ministerio de Educación Nacional le gustaría explorar opciones de movilidad o clases espejo con los programas de Ingeniería en Computación, de sistemas y electromecánica -automatización".l</w:t>
      </w:r>
    </w:p>
    <w:p w:rsidR="00000000" w:rsidDel="00000000" w:rsidP="00000000" w:rsidRDefault="00000000" w:rsidRPr="00000000" w14:paraId="00000018">
      <w:pPr>
        <w:numPr>
          <w:ilvl w:val="0"/>
          <w:numId w:val="1"/>
        </w:numPr>
        <w:spacing w:after="0" w:line="252.00000000000003"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 Fondos de Capacitación Docente</w:t>
      </w:r>
    </w:p>
    <w:p w:rsidR="00000000" w:rsidDel="00000000" w:rsidP="00000000" w:rsidRDefault="00000000" w:rsidRPr="00000000" w14:paraId="00000019">
      <w:pPr>
        <w:spacing w:after="0" w:line="252.00000000000003" w:lineRule="auto"/>
        <w:ind w:left="708.6614173228347" w:firstLine="0"/>
        <w:jc w:val="both"/>
        <w:rPr>
          <w:rFonts w:ascii="Arial" w:cs="Arial" w:eastAsia="Arial" w:hAnsi="Arial"/>
        </w:rPr>
      </w:pPr>
      <w:r w:rsidDel="00000000" w:rsidR="00000000" w:rsidRPr="00000000">
        <w:rPr>
          <w:rFonts w:ascii="Arial" w:cs="Arial" w:eastAsia="Arial" w:hAnsi="Arial"/>
          <w:rtl w:val="0"/>
        </w:rPr>
        <w:t xml:space="preserve">Se envió a la Comisión de enseñanza, la solicitud de fondos docentes y la disponibilidad. La disponibilidad es el 36% de lo solicitado.</w:t>
      </w:r>
    </w:p>
    <w:p w:rsidR="00000000" w:rsidDel="00000000" w:rsidP="00000000" w:rsidRDefault="00000000" w:rsidRPr="00000000" w14:paraId="0000001A">
      <w:pPr>
        <w:numPr>
          <w:ilvl w:val="0"/>
          <w:numId w:val="1"/>
        </w:numPr>
        <w:spacing w:after="0" w:line="252.00000000000003" w:lineRule="auto"/>
        <w:ind w:left="720" w:hanging="360"/>
        <w:jc w:val="both"/>
        <w:rPr>
          <w:rFonts w:ascii="Arial" w:cs="Arial" w:eastAsia="Arial" w:hAnsi="Arial"/>
          <w:b w:val="1"/>
          <w:u w:val="none"/>
        </w:rPr>
      </w:pPr>
      <w:r w:rsidDel="00000000" w:rsidR="00000000" w:rsidRPr="00000000">
        <w:rPr>
          <w:rFonts w:ascii="Arial" w:cs="Arial" w:eastAsia="Arial" w:hAnsi="Arial"/>
          <w:b w:val="1"/>
          <w:rtl w:val="0"/>
        </w:rPr>
        <w:t xml:space="preserve">Concursos Docentes</w:t>
      </w:r>
    </w:p>
    <w:p w:rsidR="00000000" w:rsidDel="00000000" w:rsidP="00000000" w:rsidRDefault="00000000" w:rsidRPr="00000000" w14:paraId="0000001B">
      <w:pPr>
        <w:spacing w:after="0" w:line="252.00000000000003" w:lineRule="auto"/>
        <w:ind w:left="708.6614173228347" w:firstLine="0"/>
        <w:jc w:val="both"/>
        <w:rPr>
          <w:rFonts w:ascii="Arial" w:cs="Arial" w:eastAsia="Arial" w:hAnsi="Arial"/>
        </w:rPr>
      </w:pPr>
      <w:r w:rsidDel="00000000" w:rsidR="00000000" w:rsidRPr="00000000">
        <w:rPr>
          <w:rFonts w:ascii="Arial" w:cs="Arial" w:eastAsia="Arial" w:hAnsi="Arial"/>
          <w:rtl w:val="0"/>
        </w:rPr>
        <w:t xml:space="preserve">El Consejo Superior aprobó los concursos docentes correspondientes al artículo 73 (4 cargos); promoción de ayudantes de primera (4 cargos) y los cargos de Adjunto y JTP para Química.</w:t>
      </w:r>
    </w:p>
    <w:p w:rsidR="00000000" w:rsidDel="00000000" w:rsidP="00000000" w:rsidRDefault="00000000" w:rsidRPr="00000000" w14:paraId="0000001C">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after="0" w:lineRule="auto"/>
        <w:jc w:val="both"/>
        <w:rPr>
          <w:rFonts w:ascii="Arial" w:cs="Arial" w:eastAsia="Arial" w:hAnsi="Arial"/>
        </w:rPr>
      </w:pPr>
      <w:r w:rsidDel="00000000" w:rsidR="00000000" w:rsidRPr="00000000">
        <w:rPr>
          <w:rFonts w:ascii="Arial" w:cs="Arial" w:eastAsia="Arial" w:hAnsi="Arial"/>
          <w:b w:val="1"/>
          <w:rtl w:val="0"/>
        </w:rPr>
        <w:t xml:space="preserve">Secretaría Administrativa</w:t>
      </w:r>
      <w:r w:rsidDel="00000000" w:rsidR="00000000" w:rsidRPr="00000000">
        <w:rPr>
          <w:rtl w:val="0"/>
        </w:rPr>
      </w:r>
    </w:p>
    <w:p w:rsidR="00000000" w:rsidDel="00000000" w:rsidP="00000000" w:rsidRDefault="00000000" w:rsidRPr="00000000" w14:paraId="0000001E">
      <w:pPr>
        <w:numPr>
          <w:ilvl w:val="0"/>
          <w:numId w:val="1"/>
        </w:numPr>
        <w:spacing w:after="0" w:line="252.00000000000003" w:lineRule="auto"/>
        <w:ind w:left="720" w:hanging="360"/>
        <w:jc w:val="both"/>
        <w:rPr>
          <w:rFonts w:ascii="Arial" w:cs="Arial" w:eastAsia="Arial" w:hAnsi="Arial"/>
        </w:rPr>
      </w:pPr>
      <w:r w:rsidDel="00000000" w:rsidR="00000000" w:rsidRPr="00000000">
        <w:rPr>
          <w:rFonts w:ascii="Arial" w:cs="Arial" w:eastAsia="Arial" w:hAnsi="Arial"/>
          <w:rtl w:val="0"/>
        </w:rPr>
        <w:t xml:space="preserve">Aprobación Presupuesto 2023. El dia 19 de abril en Reunión ordinaria del CS se aprobó el presupuesto 2023 para la UNLPam, que asciende a </w:t>
      </w:r>
      <w:r w:rsidDel="00000000" w:rsidR="00000000" w:rsidRPr="00000000">
        <w:rPr>
          <w:rFonts w:ascii="Arial" w:cs="Arial" w:eastAsia="Arial" w:hAnsi="Arial"/>
          <w:color w:val="00000a"/>
          <w:sz w:val="24"/>
          <w:szCs w:val="24"/>
          <w:rtl w:val="0"/>
        </w:rPr>
        <w:t xml:space="preserve">$ 8.409.296.840</w:t>
      </w:r>
      <w:r w:rsidDel="00000000" w:rsidR="00000000" w:rsidRPr="00000000">
        <w:rPr>
          <w:rFonts w:ascii="Arial" w:cs="Arial" w:eastAsia="Arial" w:hAnsi="Arial"/>
          <w:rtl w:val="0"/>
        </w:rPr>
        <w:t xml:space="preserve"> (240% superior al último aprobado en 2021)</w:t>
      </w:r>
      <w:r w:rsidDel="00000000" w:rsidR="00000000" w:rsidRPr="00000000">
        <w:rPr>
          <w:rFonts w:ascii="Arial" w:cs="Arial" w:eastAsia="Arial" w:hAnsi="Arial"/>
          <w:rtl w:val="0"/>
        </w:rPr>
        <w:t xml:space="preserve">. En términos generales hubo un incremento cercano al 116% de los incisos 2 a 5 para todas las UA respecto a lo gastado en 2022. En cuanto a obras se contempla para el Centro Universitario el recambio de una unidad de refrigeración ($15 MM), la obra de gas que resultó fracasada en 2022 ($15 MM), inspección obra Aulas Audiovisuales ($7,5 MM). Además contempla la adquisición de un motovehículo para el mantenimiento del parque el cual ya se encuentra en estado de entrega (1,6 MM).</w:t>
      </w:r>
    </w:p>
    <w:p w:rsidR="00000000" w:rsidDel="00000000" w:rsidP="00000000" w:rsidRDefault="00000000" w:rsidRPr="00000000" w14:paraId="0000001F">
      <w:pPr>
        <w:numPr>
          <w:ilvl w:val="0"/>
          <w:numId w:val="1"/>
        </w:numPr>
        <w:spacing w:after="0" w:line="252.00000000000003"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Adquisición Equipamiento: En relación a la partida destinada a la compra de equipamiento se informa que se ha ejecutado aproximadamente el 80 %, dicho retraso se debe a los problemas de existencia y formas de pago de la administración pública.</w:t>
      </w:r>
    </w:p>
    <w:p w:rsidR="00000000" w:rsidDel="00000000" w:rsidP="00000000" w:rsidRDefault="00000000" w:rsidRPr="00000000" w14:paraId="00000020">
      <w:pPr>
        <w:numPr>
          <w:ilvl w:val="0"/>
          <w:numId w:val="1"/>
        </w:numPr>
        <w:spacing w:after="0" w:line="252.00000000000003"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Cuota Asoc Coop</w:t>
      </w:r>
    </w:p>
    <w:p w:rsidR="00000000" w:rsidDel="00000000" w:rsidP="00000000" w:rsidRDefault="00000000" w:rsidRPr="00000000" w14:paraId="00000021">
      <w:pPr>
        <w:numPr>
          <w:ilvl w:val="0"/>
          <w:numId w:val="1"/>
        </w:numPr>
        <w:spacing w:after="0" w:line="252.00000000000003"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Servicio de Limpieza: se encuentra en proceso la licitación del servicio de limpieza general del edificio cuyo contrato vence en junio del presente año. El monto del presupuesto oficial es de $ 600 mil mensuales de los cuales corresponde 70% a Fac Ing y 30% a La Fac de C. Humanas.</w:t>
      </w:r>
    </w:p>
    <w:p w:rsidR="00000000" w:rsidDel="00000000" w:rsidP="00000000" w:rsidRDefault="00000000" w:rsidRPr="00000000" w14:paraId="00000022">
      <w:pPr>
        <w:spacing w:after="0" w:line="252.00000000000003"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52.00000000000003"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Secretaría de Ciencia y Técnica</w:t>
      </w:r>
    </w:p>
    <w:p w:rsidR="00000000" w:rsidDel="00000000" w:rsidP="00000000" w:rsidRDefault="00000000" w:rsidRPr="00000000" w14:paraId="00000024">
      <w:pPr>
        <w:numPr>
          <w:ilvl w:val="0"/>
          <w:numId w:val="1"/>
        </w:numPr>
        <w:spacing w:after="0" w:line="252.00000000000003"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Vinculación: Se mantuvo una reunión con el CEO de Wobax empresa dedicada a brindar soluciones basadas en datos para la internacionalización de empresas junto a la Directora de la Agencia Pampeana de Ciencias, Tecnologías e Innovación Abierta, con el objeto estrechar vínculos de acción entre las partes. En base a la cantidad de cursos que se están llevando a cabo entre la Facultad y la Agencia, la empresa se interesó en detectar posibles perfiles para emplearlos en sus desarrollos.</w:t>
      </w:r>
    </w:p>
    <w:p w:rsidR="00000000" w:rsidDel="00000000" w:rsidP="00000000" w:rsidRDefault="00000000" w:rsidRPr="00000000" w14:paraId="00000025">
      <w:pPr>
        <w:numPr>
          <w:ilvl w:val="0"/>
          <w:numId w:val="1"/>
        </w:numPr>
        <w:spacing w:after="0" w:line="252.00000000000003"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Difusión: En virtud de la necesidad de disponer de nuevos mecanismos de comunicación entre la Universidad y futuros ingresantes, se estuvo trabajando junto a la Subsecretaría Académica de Rectorado, responsables del Departamento de Demanda Universitaria, del Departamento de comunicación y del área de EaD de la UNLPam, en la propuesta de desarrollo de una Aplicación Móvil destinada a cubrir las necesidades de posibles interesados a cursar carreras en la Universidad. Se está trabajando en la conformación del grupo de desarrollo.</w:t>
      </w:r>
    </w:p>
    <w:p w:rsidR="00000000" w:rsidDel="00000000" w:rsidP="00000000" w:rsidRDefault="00000000" w:rsidRPr="00000000" w14:paraId="00000026">
      <w:pPr>
        <w:numPr>
          <w:ilvl w:val="0"/>
          <w:numId w:val="1"/>
        </w:numPr>
        <w:spacing w:after="0" w:line="252.00000000000003"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Prinuar y CVar. Se coordinó junto a la Secretaría de Investigación de la UNLPam y la Secretaría de Investigación y Postgrado de la Facultad de Ciencias Veterinarias, una reunión destinada a docentes investigadores llevada a cabo el 20/04 en al Aula 101, con el objetivo de brindar el taller de capacitación destinado al nuevo Programa para la Investigación Universitaria Argentina, habiéndose abierto la convocatoria el 10/04 hasta el 31/05.</w:t>
      </w:r>
      <w:r w:rsidDel="00000000" w:rsidR="00000000" w:rsidRPr="00000000">
        <w:rPr>
          <w:rtl w:val="0"/>
        </w:rPr>
      </w:r>
    </w:p>
    <w:sectPr>
      <w:headerReference r:id="rId7" w:type="default"/>
      <w:headerReference r:id="rId8" w:type="even"/>
      <w:footerReference r:id="rId9" w:type="default"/>
      <w:footerReference r:id="rId10" w:type="even"/>
      <w:pgSz w:h="16840" w:w="11907" w:orient="portrait"/>
      <w:pgMar w:bottom="568" w:top="851" w:left="1361" w:right="851"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rtl w:val="0"/>
      </w:rPr>
      <w:t xml:space="preserve">Pág.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681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b w:val="0"/>
        <w:color w:val="000000"/>
        <w:u w:val="none"/>
      </w:rPr>
    </w:lvl>
    <w:lvl w:ilvl="1">
      <w:start w:val="1"/>
      <w:numFmt w:val="bullet"/>
      <w:lvlText w:val="●"/>
      <w:lvlJc w:val="left"/>
      <w:pPr>
        <w:ind w:left="1440" w:hanging="360"/>
      </w:pPr>
      <w:rPr>
        <w:rFonts w:ascii="Noto Sans" w:cs="Noto Sans" w:eastAsia="Noto Sans" w:hAnsi="Noto Sans"/>
        <w:color w:val="000000"/>
        <w:u w:val="none"/>
      </w:rPr>
    </w:lvl>
    <w:lvl w:ilvl="2">
      <w:start w:val="1"/>
      <w:numFmt w:val="bullet"/>
      <w:lvlText w:val="▪"/>
      <w:lvlJc w:val="left"/>
      <w:pPr>
        <w:ind w:left="2160" w:hanging="360"/>
      </w:pPr>
      <w:rPr>
        <w:rFonts w:ascii="Noto Sans" w:cs="Noto Sans" w:eastAsia="Noto Sans" w:hAnsi="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8B6E92"/>
  </w:style>
  <w:style w:type="paragraph" w:styleId="Ttulo1">
    <w:name w:val="heading 1"/>
    <w:basedOn w:val="Normal1"/>
    <w:next w:val="Normal1"/>
    <w:rsid w:val="008B6E92"/>
    <w:pPr>
      <w:keepNext w:val="1"/>
      <w:keepLines w:val="1"/>
      <w:spacing w:after="120" w:before="480"/>
      <w:outlineLvl w:val="0"/>
    </w:pPr>
    <w:rPr>
      <w:b w:val="1"/>
      <w:sz w:val="48"/>
      <w:szCs w:val="48"/>
    </w:rPr>
  </w:style>
  <w:style w:type="paragraph" w:styleId="Ttulo2">
    <w:name w:val="heading 2"/>
    <w:basedOn w:val="Normal1"/>
    <w:next w:val="Normal1"/>
    <w:rsid w:val="008B6E92"/>
    <w:pPr>
      <w:keepNext w:val="1"/>
      <w:keepLines w:val="1"/>
      <w:spacing w:after="80" w:before="360"/>
      <w:outlineLvl w:val="1"/>
    </w:pPr>
    <w:rPr>
      <w:b w:val="1"/>
      <w:sz w:val="36"/>
      <w:szCs w:val="36"/>
    </w:rPr>
  </w:style>
  <w:style w:type="paragraph" w:styleId="Ttulo3">
    <w:name w:val="heading 3"/>
    <w:basedOn w:val="Normal1"/>
    <w:next w:val="Normal1"/>
    <w:rsid w:val="008B6E92"/>
    <w:pPr>
      <w:keepNext w:val="1"/>
      <w:keepLines w:val="1"/>
      <w:spacing w:after="80" w:before="280"/>
      <w:outlineLvl w:val="2"/>
    </w:pPr>
    <w:rPr>
      <w:b w:val="1"/>
      <w:sz w:val="28"/>
      <w:szCs w:val="28"/>
    </w:rPr>
  </w:style>
  <w:style w:type="paragraph" w:styleId="Ttulo4">
    <w:name w:val="heading 4"/>
    <w:basedOn w:val="Normal1"/>
    <w:next w:val="Normal1"/>
    <w:rsid w:val="008B6E92"/>
    <w:pPr>
      <w:keepNext w:val="1"/>
      <w:keepLines w:val="1"/>
      <w:spacing w:after="40" w:before="240"/>
      <w:outlineLvl w:val="3"/>
    </w:pPr>
    <w:rPr>
      <w:b w:val="1"/>
      <w:sz w:val="24"/>
      <w:szCs w:val="24"/>
    </w:rPr>
  </w:style>
  <w:style w:type="paragraph" w:styleId="Ttulo5">
    <w:name w:val="heading 5"/>
    <w:basedOn w:val="Normal1"/>
    <w:next w:val="Normal1"/>
    <w:rsid w:val="008B6E92"/>
    <w:pPr>
      <w:keepNext w:val="1"/>
      <w:keepLines w:val="1"/>
      <w:spacing w:after="40" w:before="220"/>
      <w:outlineLvl w:val="4"/>
    </w:pPr>
    <w:rPr>
      <w:b w:val="1"/>
    </w:rPr>
  </w:style>
  <w:style w:type="paragraph" w:styleId="Ttulo6">
    <w:name w:val="heading 6"/>
    <w:basedOn w:val="Normal1"/>
    <w:next w:val="Normal1"/>
    <w:rsid w:val="008B6E92"/>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0" w:customStyle="1">
    <w:name w:val="normal"/>
    <w:rsid w:val="00C45B1B"/>
  </w:style>
  <w:style w:type="table" w:styleId="TableNormal" w:customStyle="1">
    <w:name w:val="Table Normal"/>
    <w:rsid w:val="00C45B1B"/>
    <w:tblPr>
      <w:tblCellMar>
        <w:top w:w="0.0" w:type="dxa"/>
        <w:left w:w="0.0" w:type="dxa"/>
        <w:bottom w:w="0.0" w:type="dxa"/>
        <w:right w:w="0.0" w:type="dxa"/>
      </w:tblCellMar>
    </w:tblPr>
  </w:style>
  <w:style w:type="paragraph" w:styleId="Ttulo">
    <w:name w:val="Title"/>
    <w:basedOn w:val="Normal1"/>
    <w:next w:val="Normal1"/>
    <w:rsid w:val="008B6E92"/>
    <w:pPr>
      <w:keepNext w:val="1"/>
      <w:keepLines w:val="1"/>
      <w:spacing w:after="120" w:before="480"/>
    </w:pPr>
    <w:rPr>
      <w:b w:val="1"/>
      <w:sz w:val="72"/>
      <w:szCs w:val="72"/>
    </w:rPr>
  </w:style>
  <w:style w:type="paragraph" w:styleId="normal2" w:customStyle="1">
    <w:name w:val="normal"/>
    <w:rsid w:val="00000F7C"/>
  </w:style>
  <w:style w:type="table" w:styleId="TableNormal0" w:customStyle="1">
    <w:name w:val="Table Normal"/>
    <w:rsid w:val="00000F7C"/>
    <w:tblPr>
      <w:tblCellMar>
        <w:top w:w="0.0" w:type="dxa"/>
        <w:left w:w="0.0" w:type="dxa"/>
        <w:bottom w:w="0.0" w:type="dxa"/>
        <w:right w:w="0.0" w:type="dxa"/>
      </w:tblCellMar>
    </w:tblPr>
  </w:style>
  <w:style w:type="paragraph" w:styleId="normal3" w:customStyle="1">
    <w:name w:val="normal"/>
    <w:rsid w:val="00EE3F51"/>
  </w:style>
  <w:style w:type="table" w:styleId="TableNormal1" w:customStyle="1">
    <w:name w:val="Table Normal"/>
    <w:rsid w:val="00EE3F51"/>
    <w:tblPr>
      <w:tblCellMar>
        <w:top w:w="0.0" w:type="dxa"/>
        <w:left w:w="0.0" w:type="dxa"/>
        <w:bottom w:w="0.0" w:type="dxa"/>
        <w:right w:w="0.0" w:type="dxa"/>
      </w:tblCellMar>
    </w:tblPr>
  </w:style>
  <w:style w:type="paragraph" w:styleId="normal4" w:customStyle="1">
    <w:name w:val="normal"/>
    <w:rsid w:val="00EE3F51"/>
  </w:style>
  <w:style w:type="table" w:styleId="TableNormal2" w:customStyle="1">
    <w:name w:val="Table Normal"/>
    <w:rsid w:val="00EE3F51"/>
    <w:tblPr>
      <w:tblCellMar>
        <w:top w:w="0.0" w:type="dxa"/>
        <w:left w:w="0.0" w:type="dxa"/>
        <w:bottom w:w="0.0" w:type="dxa"/>
        <w:right w:w="0.0" w:type="dxa"/>
      </w:tblCellMar>
    </w:tblPr>
  </w:style>
  <w:style w:type="paragraph" w:styleId="normal5" w:customStyle="1">
    <w:name w:val="normal"/>
    <w:rsid w:val="005F5B27"/>
  </w:style>
  <w:style w:type="table" w:styleId="TableNormal3" w:customStyle="1">
    <w:name w:val="Table Normal"/>
    <w:rsid w:val="005F5B27"/>
    <w:tblPr>
      <w:tblCellMar>
        <w:top w:w="0.0" w:type="dxa"/>
        <w:left w:w="0.0" w:type="dxa"/>
        <w:bottom w:w="0.0" w:type="dxa"/>
        <w:right w:w="0.0" w:type="dxa"/>
      </w:tblCellMar>
    </w:tblPr>
  </w:style>
  <w:style w:type="paragraph" w:styleId="Normal10" w:customStyle="1">
    <w:name w:val="Normal1"/>
    <w:rsid w:val="00626990"/>
  </w:style>
  <w:style w:type="table" w:styleId="TableNormal4" w:customStyle="1">
    <w:name w:val="Table Normal"/>
    <w:rsid w:val="00626990"/>
    <w:tblPr>
      <w:tblCellMar>
        <w:top w:w="0.0" w:type="dxa"/>
        <w:left w:w="0.0" w:type="dxa"/>
        <w:bottom w:w="0.0" w:type="dxa"/>
        <w:right w:w="0.0" w:type="dxa"/>
      </w:tblCellMar>
    </w:tblPr>
  </w:style>
  <w:style w:type="paragraph" w:styleId="Normal20" w:customStyle="1">
    <w:name w:val="Normal2"/>
    <w:rsid w:val="008414D7"/>
  </w:style>
  <w:style w:type="table" w:styleId="TableNormal5" w:customStyle="1">
    <w:name w:val="Table Normal"/>
    <w:rsid w:val="008414D7"/>
    <w:tblPr>
      <w:tblCellMar>
        <w:top w:w="0.0" w:type="dxa"/>
        <w:left w:w="0.0" w:type="dxa"/>
        <w:bottom w:w="0.0" w:type="dxa"/>
        <w:right w:w="0.0" w:type="dxa"/>
      </w:tblCellMar>
    </w:tblPr>
  </w:style>
  <w:style w:type="table" w:styleId="TableNormal6" w:customStyle="1">
    <w:name w:val="Table Normal"/>
    <w:rsid w:val="008414D7"/>
    <w:tblPr>
      <w:tblCellMar>
        <w:top w:w="0.0" w:type="dxa"/>
        <w:left w:w="0.0" w:type="dxa"/>
        <w:bottom w:w="0.0" w:type="dxa"/>
        <w:right w:w="0.0" w:type="dxa"/>
      </w:tblCellMar>
    </w:tblPr>
  </w:style>
  <w:style w:type="paragraph" w:styleId="Normal1" w:customStyle="1">
    <w:name w:val="Normal1"/>
    <w:rsid w:val="008B6E92"/>
  </w:style>
  <w:style w:type="table" w:styleId="TableNormal7" w:customStyle="1">
    <w:name w:val="Table Normal"/>
    <w:rsid w:val="008B6E92"/>
    <w:tblPr>
      <w:tblCellMar>
        <w:top w:w="0.0" w:type="dxa"/>
        <w:left w:w="0.0" w:type="dxa"/>
        <w:bottom w:w="0.0" w:type="dxa"/>
        <w:right w:w="0.0" w:type="dxa"/>
      </w:tblCellMar>
    </w:tblPr>
  </w:style>
  <w:style w:type="paragraph" w:styleId="Prrafodelista">
    <w:name w:val="List Paragraph"/>
    <w:basedOn w:val="Normal"/>
    <w:uiPriority w:val="34"/>
    <w:qFormat w:val="1"/>
    <w:rsid w:val="00994F5E"/>
    <w:pPr>
      <w:ind w:left="720"/>
      <w:contextualSpacing w:val="1"/>
    </w:pPr>
  </w:style>
  <w:style w:type="paragraph" w:styleId="Subttulo">
    <w:name w:val="Subtitle"/>
    <w:basedOn w:val="Normal"/>
    <w:next w:val="Normal"/>
    <w:rsid w:val="00C45B1B"/>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semiHidden w:val="1"/>
    <w:unhideWhenUsed w:val="1"/>
    <w:rsid w:val="00AB173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val="1"/>
    <w:rsid w:val="00AB173A"/>
  </w:style>
  <w:style w:type="paragraph" w:styleId="Piedepgina">
    <w:name w:val="footer"/>
    <w:basedOn w:val="Normal"/>
    <w:link w:val="PiedepginaCar"/>
    <w:uiPriority w:val="99"/>
    <w:semiHidden w:val="1"/>
    <w:unhideWhenUsed w:val="1"/>
    <w:rsid w:val="00AB173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semiHidden w:val="1"/>
    <w:rsid w:val="00AB173A"/>
  </w:style>
  <w:style w:type="paragraph" w:styleId="NormalWeb">
    <w:name w:val="Normal (Web)"/>
    <w:basedOn w:val="Normal"/>
    <w:uiPriority w:val="99"/>
    <w:unhideWhenUsed w:val="1"/>
    <w:rsid w:val="00E47E4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4wa3IVDDtNg+Fwdtsh0vKV7Oww==">AMUW2mUjo62GL2bcJoMb8xLWYapuSlai/TiEMlRSG/7tlSGV5XUwMFQLtPYaKIMIlSIECqDOomDcW81CHdYegIYE7r0XthMVh7RVIIfvS0Z9rZE3UzLX/XiueimekCmD/z9XyHiVaQhk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2022-05-06T15:16:00Z</dcterms:created>
  <dc:creator>Cuenta Microsoft</dc:creator>
</cp:coreProperties>
</file>