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77C6" w:rsidRDefault="00000000">
      <w:pPr>
        <w:widowControl w:val="0"/>
        <w:spacing w:after="0" w:line="240" w:lineRule="auto"/>
        <w:jc w:val="center"/>
        <w:rPr>
          <w:rFonts w:ascii="Century Gothic" w:eastAsia="Century Gothic" w:hAnsi="Century Gothic" w:cs="Century Gothic"/>
          <w:b/>
          <w:i/>
          <w:u w:val="single"/>
        </w:rPr>
      </w:pPr>
      <w:r>
        <w:rPr>
          <w:rFonts w:ascii="Century Gothic" w:eastAsia="Century Gothic" w:hAnsi="Century Gothic" w:cs="Century Gothic"/>
          <w:b/>
          <w:u w:val="single"/>
        </w:rPr>
        <w:t xml:space="preserve"> Informe de Presidencia </w:t>
      </w:r>
    </w:p>
    <w:p w14:paraId="00000002" w14:textId="77777777" w:rsidR="00B177C6" w:rsidRDefault="00000000">
      <w:pPr>
        <w:widowControl w:val="0"/>
        <w:spacing w:after="0" w:line="240" w:lineRule="auto"/>
        <w:jc w:val="center"/>
        <w:rPr>
          <w:rFonts w:ascii="Century Gothic" w:eastAsia="Century Gothic" w:hAnsi="Century Gothic" w:cs="Century Gothic"/>
          <w:b/>
          <w:u w:val="single"/>
        </w:rPr>
      </w:pPr>
      <w:bookmarkStart w:id="0" w:name="_heading=h.gjdgxs" w:colFirst="0" w:colLast="0"/>
      <w:bookmarkEnd w:id="0"/>
      <w:r>
        <w:rPr>
          <w:rFonts w:ascii="Century Gothic" w:eastAsia="Century Gothic" w:hAnsi="Century Gothic" w:cs="Century Gothic"/>
          <w:b/>
          <w:u w:val="single"/>
        </w:rPr>
        <w:t>1° Reunión Ordinaria Consejo Directivo 29-02-2024  Modalidad Combinada</w:t>
      </w:r>
    </w:p>
    <w:p w14:paraId="00000003" w14:textId="77777777" w:rsidR="00B177C6" w:rsidRDefault="00B177C6">
      <w:pPr>
        <w:widowControl w:val="0"/>
        <w:spacing w:after="0" w:line="240" w:lineRule="auto"/>
        <w:jc w:val="both"/>
        <w:rPr>
          <w:rFonts w:ascii="Century Gothic" w:eastAsia="Century Gothic" w:hAnsi="Century Gothic" w:cs="Century Gothic"/>
          <w:b/>
          <w:i/>
        </w:rPr>
      </w:pPr>
    </w:p>
    <w:p w14:paraId="00000004" w14:textId="77777777" w:rsidR="00B177C6" w:rsidRDefault="00000000">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b/>
        </w:rPr>
        <w:t>Decanato:</w:t>
      </w:r>
    </w:p>
    <w:p w14:paraId="00000005"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Donación de terrenos para la Facultad de Ciencias de la Salud: el día 3/1 el Decano y el Secretario Administrativo concurrieron a Santa Rosa donde el gobernador firmó un compromiso para donar un terreno de aproximadamente 8.500 m</w:t>
      </w:r>
      <w:r>
        <w:rPr>
          <w:rFonts w:ascii="Century Gothic" w:eastAsia="Century Gothic" w:hAnsi="Century Gothic" w:cs="Century Gothic"/>
          <w:vertAlign w:val="superscript"/>
        </w:rPr>
        <w:t>2</w:t>
      </w:r>
      <w:r>
        <w:rPr>
          <w:rFonts w:ascii="Century Gothic" w:eastAsia="Century Gothic" w:hAnsi="Century Gothic" w:cs="Century Gothic"/>
        </w:rPr>
        <w:t xml:space="preserve"> en las proximidades del Hospital Favaloro para el futuro funcionamiento de la Facultad de Ciencias de la Salud. También se hallaban presentes la Vicegobernadora y el Ministro de Salud de la provincia.</w:t>
      </w:r>
    </w:p>
    <w:p w14:paraId="00000006"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Firma de convenio de colaboración con el Ministerio de la Producción: el día 3/1 se firmó un acuerdo de colaboración con el Ministerio de la Producción de la Provincia apuntado al intercambio de información técnica y científica y de recursos humanos; realización de trabajos de investigación, capacitación, difusión y extensión; promoción de actividades conjuntas; creación y desarrollo de grupos de trabajo; promoción tecnológica; ejecución de proyectos y prestación de servicios a terceros, etc.</w:t>
      </w:r>
    </w:p>
    <w:p w14:paraId="00000007"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 xml:space="preserve">Reunión con la Vicegobernadora: el día 7/2 el equipo de gestión se reunió con la Vicegobernadora de la provincia de La Pampa, Alicia Mayoral. En la misma se trataron diferentes temas, entre ellos la posibilidad de que el gobierno provincial colabore en la reparación de las viviendas del Barrio Pampa. </w:t>
      </w:r>
    </w:p>
    <w:p w14:paraId="00000008" w14:textId="20A44916"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Reunión con el Ministerio de Educación: el día 23/02 el Decano, Vic</w:t>
      </w:r>
      <w:r w:rsidR="00200D89">
        <w:rPr>
          <w:rFonts w:ascii="Century Gothic" w:eastAsia="Century Gothic" w:hAnsi="Century Gothic" w:cs="Century Gothic"/>
        </w:rPr>
        <w:t>e</w:t>
      </w:r>
      <w:r>
        <w:rPr>
          <w:rFonts w:ascii="Century Gothic" w:eastAsia="Century Gothic" w:hAnsi="Century Gothic" w:cs="Century Gothic"/>
        </w:rPr>
        <w:t xml:space="preserve">decana y Secretario Administrativo se reunieron con los integrantes del Ministerio de Educación de la provincia, donde se trataron entre otros temas: el financiamiento de la carrera Ingeniería Biomédica, la articulación con el nivel medio y la capacitación a través de la RedPam. Participaron por el Ministerio la ministra Prof. Marcela </w:t>
      </w:r>
      <w:r w:rsidR="00200D89">
        <w:rPr>
          <w:rFonts w:ascii="Century Gothic" w:eastAsia="Century Gothic" w:hAnsi="Century Gothic" w:cs="Century Gothic"/>
        </w:rPr>
        <w:t xml:space="preserve">FEUERSCHVENGER </w:t>
      </w:r>
      <w:r>
        <w:rPr>
          <w:rFonts w:ascii="Century Gothic" w:eastAsia="Century Gothic" w:hAnsi="Century Gothic" w:cs="Century Gothic"/>
        </w:rPr>
        <w:t xml:space="preserve">y la Subsecretaria de Educación Prof. Sandra </w:t>
      </w:r>
      <w:r w:rsidR="00200D89">
        <w:rPr>
          <w:rFonts w:ascii="Century Gothic" w:eastAsia="Century Gothic" w:hAnsi="Century Gothic" w:cs="Century Gothic"/>
        </w:rPr>
        <w:t>GALVEZ.</w:t>
      </w:r>
    </w:p>
    <w:p w14:paraId="00000009" w14:textId="59948AD6"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Reunión con la Dirección General de Educación Superior: el día 27/02 el Decano y el Secretario Académico participaron de la reunión convocada por el Ministerio de Educación con el propósito de avanzar en acuerdos y acciones conjuntas que permitan sostener las articulaciones que se venían realizando o generar nuevas acciones entre nivel medio y nivel superior.</w:t>
      </w:r>
    </w:p>
    <w:p w14:paraId="0000000A"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Maestría en Gestión de la Información: se sigue avanzando en la presentación a  acreditación de esta carrera binacional a nivel de posgrado con doble titulación, entre una universidad alemana (University of Applied Sciences Kaiserslautern) y dos universidades argentinas (UNLPam y UNRaf). La próxima reunión de trabajo será en Rafaela los días 18 y 19/03. La intención es presentarla a acreditación en septiembre de 2024.</w:t>
      </w:r>
    </w:p>
    <w:p w14:paraId="0000000B" w14:textId="77777777" w:rsidR="00B177C6" w:rsidRDefault="00B177C6">
      <w:pPr>
        <w:spacing w:after="0" w:line="252" w:lineRule="auto"/>
        <w:jc w:val="both"/>
        <w:rPr>
          <w:rFonts w:ascii="Century Gothic" w:eastAsia="Century Gothic" w:hAnsi="Century Gothic" w:cs="Century Gothic"/>
        </w:rPr>
      </w:pPr>
    </w:p>
    <w:p w14:paraId="0000000C" w14:textId="77777777" w:rsidR="00B177C6" w:rsidRDefault="00000000">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Secretaría Académica:</w:t>
      </w:r>
    </w:p>
    <w:p w14:paraId="0000000D"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Inscripciones 2024: Analista Programador: 102; Ingeniería en Sistemas: 82; Ingeniería Electromecánica: 44; Ingeniería Industrial: 30; Ingeniería en Computación: 9; Tecnicatura Universitaria en Telecomunicaciones: 28. Total: 295. Personas Físicas: 262</w:t>
      </w:r>
    </w:p>
    <w:p w14:paraId="0000000E"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Reunión FDR. Aprueba memoria y balance. Distribución de cargos, sin modificaciones. Presidencia. Municipalidad de Gral. Pico. Fac. de Ing. Vicepresidencia 3era.</w:t>
      </w:r>
    </w:p>
    <w:p w14:paraId="0000000F"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Alumnos vocacionales. Cátedra Gestión de Calidad. Se está difundiendo para que personas externas a la facultad puedan cursar con los alumnos de la carrera de Ing. Industrial.</w:t>
      </w:r>
    </w:p>
    <w:p w14:paraId="00000010" w14:textId="77777777" w:rsidR="00B177C6" w:rsidRDefault="00B177C6">
      <w:pPr>
        <w:widowControl w:val="0"/>
        <w:spacing w:after="0" w:line="240" w:lineRule="auto"/>
        <w:ind w:left="720"/>
        <w:jc w:val="both"/>
        <w:rPr>
          <w:rFonts w:ascii="Century Gothic" w:eastAsia="Century Gothic" w:hAnsi="Century Gothic" w:cs="Century Gothic"/>
        </w:rPr>
      </w:pPr>
    </w:p>
    <w:p w14:paraId="00000011" w14:textId="77777777" w:rsidR="00B177C6" w:rsidRDefault="00B177C6">
      <w:pPr>
        <w:widowControl w:val="0"/>
        <w:spacing w:after="0" w:line="240" w:lineRule="auto"/>
        <w:ind w:left="720"/>
        <w:jc w:val="both"/>
        <w:rPr>
          <w:rFonts w:ascii="Century Gothic" w:eastAsia="Century Gothic" w:hAnsi="Century Gothic" w:cs="Century Gothic"/>
        </w:rPr>
      </w:pPr>
    </w:p>
    <w:p w14:paraId="00000012" w14:textId="77777777" w:rsidR="00B177C6" w:rsidRDefault="00000000">
      <w:pPr>
        <w:widowControl w:val="0"/>
        <w:spacing w:after="0" w:line="240" w:lineRule="auto"/>
        <w:jc w:val="both"/>
        <w:rPr>
          <w:rFonts w:ascii="Century Gothic" w:eastAsia="Century Gothic" w:hAnsi="Century Gothic" w:cs="Century Gothic"/>
        </w:rPr>
      </w:pPr>
      <w:r>
        <w:rPr>
          <w:rFonts w:ascii="Century Gothic" w:eastAsia="Century Gothic" w:hAnsi="Century Gothic" w:cs="Century Gothic"/>
          <w:b/>
        </w:rPr>
        <w:lastRenderedPageBreak/>
        <w:t>Secretaría Administrativa</w:t>
      </w:r>
    </w:p>
    <w:p w14:paraId="00000013"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Obras:</w:t>
      </w:r>
    </w:p>
    <w:p w14:paraId="00000014" w14:textId="77777777" w:rsidR="00B177C6" w:rsidRDefault="00000000">
      <w:pPr>
        <w:numPr>
          <w:ilvl w:val="0"/>
          <w:numId w:val="1"/>
        </w:numPr>
        <w:spacing w:after="0" w:line="252" w:lineRule="auto"/>
        <w:ind w:left="1440"/>
        <w:jc w:val="both"/>
        <w:rPr>
          <w:rFonts w:ascii="Century Gothic" w:eastAsia="Century Gothic" w:hAnsi="Century Gothic" w:cs="Century Gothic"/>
        </w:rPr>
      </w:pPr>
      <w:r>
        <w:rPr>
          <w:rFonts w:ascii="Century Gothic" w:eastAsia="Century Gothic" w:hAnsi="Century Gothic" w:cs="Century Gothic"/>
        </w:rPr>
        <w:t xml:space="preserve">Aulas Audiovisuales: La obra se encuentra en aproximadamente en 70 % de ejecución. Se prevé su culminación para fines de abril, siempre y cuando no surjan restricciones de fondos. Cabe aclarar que los certificados son adelantados por Rectorado con recursos propios y aún no se ha recibido la reposición por parte de Nación. </w:t>
      </w:r>
    </w:p>
    <w:p w14:paraId="00000015" w14:textId="77777777" w:rsidR="00B177C6" w:rsidRDefault="00000000">
      <w:pPr>
        <w:numPr>
          <w:ilvl w:val="0"/>
          <w:numId w:val="1"/>
        </w:numPr>
        <w:spacing w:after="0" w:line="252" w:lineRule="auto"/>
        <w:ind w:left="1440"/>
        <w:jc w:val="both"/>
        <w:rPr>
          <w:rFonts w:ascii="Century Gothic" w:eastAsia="Century Gothic" w:hAnsi="Century Gothic" w:cs="Century Gothic"/>
        </w:rPr>
      </w:pPr>
      <w:r>
        <w:rPr>
          <w:rFonts w:ascii="Century Gothic" w:eastAsia="Century Gothic" w:hAnsi="Century Gothic" w:cs="Century Gothic"/>
        </w:rPr>
        <w:t xml:space="preserve">Obra de gas: Ya se ha realizado la primera inspección de Camuzzi a cañería destapada por lo que se considera que en 30 días se habilitaría el suministro. </w:t>
      </w:r>
    </w:p>
    <w:p w14:paraId="00000016" w14:textId="77777777" w:rsidR="00B177C6" w:rsidRDefault="00000000">
      <w:pPr>
        <w:numPr>
          <w:ilvl w:val="0"/>
          <w:numId w:val="1"/>
        </w:numPr>
        <w:spacing w:after="0" w:line="252" w:lineRule="auto"/>
        <w:ind w:left="1440"/>
        <w:jc w:val="both"/>
        <w:rPr>
          <w:rFonts w:ascii="Century Gothic" w:eastAsia="Century Gothic" w:hAnsi="Century Gothic" w:cs="Century Gothic"/>
        </w:rPr>
      </w:pPr>
      <w:r>
        <w:rPr>
          <w:rFonts w:ascii="Century Gothic" w:eastAsia="Century Gothic" w:hAnsi="Century Gothic" w:cs="Century Gothic"/>
        </w:rPr>
        <w:t xml:space="preserve">Máquina de enfriamiento. La Empresa contratista ya ha colocado en su lugar el equipo. El mismo se conectará al sistema existente en las próximas semanas. </w:t>
      </w:r>
    </w:p>
    <w:p w14:paraId="00000017"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 xml:space="preserve"> Equipamientos:</w:t>
      </w:r>
    </w:p>
    <w:p w14:paraId="00000018" w14:textId="77777777" w:rsidR="00B177C6" w:rsidRDefault="00000000">
      <w:pPr>
        <w:numPr>
          <w:ilvl w:val="0"/>
          <w:numId w:val="2"/>
        </w:numPr>
        <w:spacing w:after="0" w:line="252" w:lineRule="auto"/>
        <w:ind w:left="1570"/>
        <w:jc w:val="both"/>
        <w:rPr>
          <w:rFonts w:ascii="Century Gothic" w:eastAsia="Century Gothic" w:hAnsi="Century Gothic" w:cs="Century Gothic"/>
        </w:rPr>
      </w:pPr>
      <w:r>
        <w:rPr>
          <w:rFonts w:ascii="Century Gothic" w:eastAsia="Century Gothic" w:hAnsi="Century Gothic" w:cs="Century Gothic"/>
        </w:rPr>
        <w:t>Se ha recibido el equipamiento pendiente del Lab de Redes (fusionadora fibra). Resta entregar PLCs por parte de la firma Lobos Electricidad que informa que aún siguen en Aduana y estima que en 30 días estarían disponibles.</w:t>
      </w:r>
    </w:p>
    <w:p w14:paraId="00000019" w14:textId="329F1646" w:rsidR="00B177C6" w:rsidRDefault="00000000">
      <w:pPr>
        <w:numPr>
          <w:ilvl w:val="0"/>
          <w:numId w:val="2"/>
        </w:numPr>
        <w:spacing w:after="0" w:line="252" w:lineRule="auto"/>
        <w:ind w:left="1570"/>
        <w:jc w:val="both"/>
        <w:rPr>
          <w:rFonts w:ascii="Century Gothic" w:eastAsia="Century Gothic" w:hAnsi="Century Gothic" w:cs="Century Gothic"/>
        </w:rPr>
      </w:pPr>
      <w:r>
        <w:rPr>
          <w:rFonts w:ascii="Century Gothic" w:eastAsia="Century Gothic" w:hAnsi="Century Gothic" w:cs="Century Gothic"/>
        </w:rPr>
        <w:t>Se han retomado las acciones en pos de recibir, como donación, un robot industrial (en funcionamiento) de la firma Toyota Argentina</w:t>
      </w:r>
      <w:r w:rsidR="00200D89">
        <w:rPr>
          <w:rFonts w:ascii="Century Gothic" w:eastAsia="Century Gothic" w:hAnsi="Century Gothic" w:cs="Century Gothic"/>
        </w:rPr>
        <w:t>.</w:t>
      </w:r>
    </w:p>
    <w:p w14:paraId="0000001A" w14:textId="77777777"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Situación presupuestaria:</w:t>
      </w:r>
    </w:p>
    <w:p w14:paraId="0000001B" w14:textId="1C264FCD" w:rsidR="00B177C6" w:rsidRDefault="00000000">
      <w:pPr>
        <w:numPr>
          <w:ilvl w:val="0"/>
          <w:numId w:val="3"/>
        </w:numPr>
        <w:spacing w:after="0" w:line="252" w:lineRule="auto"/>
        <w:jc w:val="both"/>
        <w:rPr>
          <w:rFonts w:ascii="Century Gothic" w:eastAsia="Century Gothic" w:hAnsi="Century Gothic" w:cs="Century Gothic"/>
        </w:rPr>
      </w:pPr>
      <w:r>
        <w:rPr>
          <w:rFonts w:ascii="Century Gothic" w:eastAsia="Century Gothic" w:hAnsi="Century Gothic" w:cs="Century Gothic"/>
        </w:rPr>
        <w:t>Gastos de funcionamiento: Hasta el momento se dispone del mismo presupuesto original de 2023 (sin los refuerzos que enviaron durante ese periodo)</w:t>
      </w:r>
      <w:r w:rsidR="00200D89">
        <w:rPr>
          <w:rFonts w:ascii="Century Gothic" w:eastAsia="Century Gothic" w:hAnsi="Century Gothic" w:cs="Century Gothic"/>
        </w:rPr>
        <w:t>.</w:t>
      </w:r>
    </w:p>
    <w:p w14:paraId="0000001C" w14:textId="77777777" w:rsidR="00B177C6" w:rsidRDefault="00000000">
      <w:pPr>
        <w:numPr>
          <w:ilvl w:val="0"/>
          <w:numId w:val="3"/>
        </w:numPr>
        <w:spacing w:after="0" w:line="252" w:lineRule="auto"/>
        <w:jc w:val="both"/>
        <w:rPr>
          <w:rFonts w:ascii="Century Gothic" w:eastAsia="Century Gothic" w:hAnsi="Century Gothic" w:cs="Century Gothic"/>
        </w:rPr>
      </w:pPr>
      <w:r>
        <w:rPr>
          <w:rFonts w:ascii="Century Gothic" w:eastAsia="Century Gothic" w:hAnsi="Century Gothic" w:cs="Century Gothic"/>
        </w:rPr>
        <w:t>Salarios: los salarios para Docentes y Nodocentes correspondientes a febrero se liquidan con un incremento de 16 %. Ello se compone del 10 % acordado en paritaria 2023 y un 6 % adicional a cuenta de futuras paritarias.</w:t>
      </w:r>
    </w:p>
    <w:p w14:paraId="0000001D" w14:textId="77777777" w:rsidR="00B177C6" w:rsidRDefault="00B177C6">
      <w:pPr>
        <w:widowControl w:val="0"/>
        <w:spacing w:after="0" w:line="240" w:lineRule="auto"/>
        <w:jc w:val="both"/>
        <w:rPr>
          <w:rFonts w:ascii="Century Gothic" w:eastAsia="Century Gothic" w:hAnsi="Century Gothic" w:cs="Century Gothic"/>
        </w:rPr>
      </w:pPr>
    </w:p>
    <w:p w14:paraId="0000001E" w14:textId="77777777" w:rsidR="00B177C6" w:rsidRDefault="00000000">
      <w:pPr>
        <w:widowControl w:val="0"/>
        <w:spacing w:after="0" w:line="240" w:lineRule="auto"/>
        <w:jc w:val="both"/>
        <w:rPr>
          <w:rFonts w:ascii="Century Gothic" w:eastAsia="Century Gothic" w:hAnsi="Century Gothic" w:cs="Century Gothic"/>
          <w:b/>
        </w:rPr>
      </w:pPr>
      <w:r>
        <w:rPr>
          <w:rFonts w:ascii="Century Gothic" w:eastAsia="Century Gothic" w:hAnsi="Century Gothic" w:cs="Century Gothic"/>
          <w:b/>
        </w:rPr>
        <w:t>Secretaría de Ciencia y Técnica</w:t>
      </w:r>
    </w:p>
    <w:p w14:paraId="0000001F" w14:textId="42483F08" w:rsidR="00B177C6" w:rsidRDefault="00000000">
      <w:pPr>
        <w:numPr>
          <w:ilvl w:val="0"/>
          <w:numId w:val="4"/>
        </w:numPr>
        <w:spacing w:after="0" w:line="252" w:lineRule="auto"/>
        <w:jc w:val="both"/>
        <w:rPr>
          <w:rFonts w:ascii="Century Gothic" w:eastAsia="Century Gothic" w:hAnsi="Century Gothic" w:cs="Century Gothic"/>
        </w:rPr>
      </w:pPr>
      <w:r>
        <w:rPr>
          <w:rFonts w:ascii="Century Gothic" w:eastAsia="Century Gothic" w:hAnsi="Century Gothic" w:cs="Century Gothic"/>
        </w:rPr>
        <w:t xml:space="preserve">2/2 - Reunión con la Subsecretaria de Modernización Carmen Sierra y la Directora General de Seguimiento y Evaluación en Políticas Públicas, Ariadna </w:t>
      </w:r>
      <w:r w:rsidR="00200D89">
        <w:rPr>
          <w:rFonts w:ascii="Century Gothic" w:eastAsia="Century Gothic" w:hAnsi="Century Gothic" w:cs="Century Gothic"/>
        </w:rPr>
        <w:t xml:space="preserve">GOMEZ </w:t>
      </w:r>
      <w:r>
        <w:rPr>
          <w:rFonts w:ascii="Century Gothic" w:eastAsia="Century Gothic" w:hAnsi="Century Gothic" w:cs="Century Gothic"/>
        </w:rPr>
        <w:t>pertenecientes al Ministerio de Conectividad y Modernización donde nos plantearon la inquietud de avanzar en capacitaciones sobre habilidades digitales para distintos públicos: ciudadanía, agentes públicos. También nos comentaron sobre avanzar en el dictado de capacitaciones en proyectos y líneas específicas del Ministerio, en temáticas de género y ciudadanía digital, entre otras.</w:t>
      </w:r>
    </w:p>
    <w:p w14:paraId="00000020" w14:textId="50D08529" w:rsidR="00B177C6" w:rsidRDefault="00000000">
      <w:pPr>
        <w:numPr>
          <w:ilvl w:val="0"/>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 xml:space="preserve">7/2 - Reunión con el Coordinador Operativo y Comercial del Grupo HERT, Facundo </w:t>
      </w:r>
      <w:r w:rsidR="00200D89">
        <w:rPr>
          <w:rFonts w:ascii="Century Gothic" w:eastAsia="Century Gothic" w:hAnsi="Century Gothic" w:cs="Century Gothic"/>
        </w:rPr>
        <w:t xml:space="preserve">ARNERI </w:t>
      </w:r>
      <w:r>
        <w:rPr>
          <w:rFonts w:ascii="Century Gothic" w:eastAsia="Century Gothic" w:hAnsi="Century Gothic" w:cs="Century Gothic"/>
        </w:rPr>
        <w:t>que se encarga de servicios de transporte de pasajeros. Se mantuvieron reuniones para avanzar en la firma de convenios de colaboración y de pasantías.</w:t>
      </w:r>
    </w:p>
    <w:p w14:paraId="00000021" w14:textId="7080A0A9" w:rsidR="00B177C6" w:rsidRDefault="00000000">
      <w:pPr>
        <w:numPr>
          <w:ilvl w:val="0"/>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 xml:space="preserve">14/2 - Reunión con Evangelina </w:t>
      </w:r>
      <w:r w:rsidR="00200D89">
        <w:rPr>
          <w:rFonts w:ascii="Century Gothic" w:eastAsia="Century Gothic" w:hAnsi="Century Gothic" w:cs="Century Gothic"/>
        </w:rPr>
        <w:t>TORRES</w:t>
      </w:r>
      <w:r>
        <w:rPr>
          <w:rFonts w:ascii="Century Gothic" w:eastAsia="Century Gothic" w:hAnsi="Century Gothic" w:cs="Century Gothic"/>
        </w:rPr>
        <w:t xml:space="preserve">, Gerenta Comercial y Ignacio Di </w:t>
      </w:r>
      <w:r w:rsidR="00200D89">
        <w:rPr>
          <w:rFonts w:ascii="Century Gothic" w:eastAsia="Century Gothic" w:hAnsi="Century Gothic" w:cs="Century Gothic"/>
        </w:rPr>
        <w:t>NAPOLI</w:t>
      </w:r>
      <w:r>
        <w:rPr>
          <w:rFonts w:ascii="Century Gothic" w:eastAsia="Century Gothic" w:hAnsi="Century Gothic" w:cs="Century Gothic"/>
        </w:rPr>
        <w:t>, Resp. del área de Gestión de Calidad de Milenaria S.A. Se mantuvieron reuniones para avanzar en la firma de convenios de colaboración y de pasantías.</w:t>
      </w:r>
    </w:p>
    <w:p w14:paraId="00000022" w14:textId="6A916922" w:rsidR="00B177C6" w:rsidRDefault="00000000">
      <w:pPr>
        <w:numPr>
          <w:ilvl w:val="0"/>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14/2 - Reunión con el Consejo de Extensión de la UNLPam</w:t>
      </w:r>
      <w:r w:rsidR="00200D89">
        <w:rPr>
          <w:rFonts w:ascii="Century Gothic" w:eastAsia="Century Gothic" w:hAnsi="Century Gothic" w:cs="Century Gothic"/>
        </w:rPr>
        <w:t>.</w:t>
      </w:r>
    </w:p>
    <w:p w14:paraId="00000023" w14:textId="77777777" w:rsidR="00B177C6" w:rsidRDefault="00000000">
      <w:pPr>
        <w:numPr>
          <w:ilvl w:val="1"/>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Se presentaron informes de gestores en extensión y se analizó la viabilidad de ejecutar a futuro nuevas convocatorias.</w:t>
      </w:r>
    </w:p>
    <w:p w14:paraId="00000024" w14:textId="77777777" w:rsidR="00B177C6" w:rsidRDefault="00000000">
      <w:pPr>
        <w:numPr>
          <w:ilvl w:val="1"/>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Se presentaron 25 postulantes (11 reinscriptos) para un cupo de 20 becas de $18.000. No hubo postulantes de nuestra facultad.</w:t>
      </w:r>
    </w:p>
    <w:p w14:paraId="00000025" w14:textId="77777777" w:rsidR="00B177C6" w:rsidRDefault="00000000">
      <w:pPr>
        <w:numPr>
          <w:ilvl w:val="1"/>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Se analizaron estrategias para aumentar a un monto más significativo el valor mensual por becario, teniendo en cuenta que el presupuesto para esta actividad aún no se ha determinado.</w:t>
      </w:r>
    </w:p>
    <w:p w14:paraId="00000026" w14:textId="677B2520" w:rsidR="00B177C6" w:rsidRDefault="00000000">
      <w:pPr>
        <w:numPr>
          <w:ilvl w:val="0"/>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16/2 - Reunión Consejo de Investigación y Postgrado UNLPam</w:t>
      </w:r>
      <w:r w:rsidR="00200D89">
        <w:rPr>
          <w:rFonts w:ascii="Century Gothic" w:eastAsia="Century Gothic" w:hAnsi="Century Gothic" w:cs="Century Gothic"/>
        </w:rPr>
        <w:t>.</w:t>
      </w:r>
    </w:p>
    <w:p w14:paraId="00000027" w14:textId="7A4C2C6A" w:rsidR="00B177C6" w:rsidRDefault="00000000">
      <w:pPr>
        <w:numPr>
          <w:ilvl w:val="1"/>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lastRenderedPageBreak/>
        <w:t>Presupuesto CyT 2024: se informó que desde la Secretaría Económico-Administrativa, no se puede confirmar un monto de presupuesto destinado a los programas de Investigación y Posgrado, se dará prioridad al pago de haberes y gastos de funcionamiento por el momento. Se decidió no resolver en lo inmediato hasta no tener la certeza total de los fondos con los que va contar la UNLPam.</w:t>
      </w:r>
      <w:r>
        <w:rPr>
          <w:rFonts w:ascii="Century Gothic" w:eastAsia="Century Gothic" w:hAnsi="Century Gothic" w:cs="Century Gothic"/>
        </w:rPr>
        <w:tab/>
      </w:r>
    </w:p>
    <w:p w14:paraId="00000028" w14:textId="77777777" w:rsidR="00B177C6" w:rsidRDefault="00000000">
      <w:pPr>
        <w:numPr>
          <w:ilvl w:val="1"/>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Programa de Fortalecimiento 2023: Se acreditó el 19/2, en las cuentas de directoras/es y/o co-directoras/es informadas, los montos correspondientes a refuerzos de proyectos de investigación acreditados.</w:t>
      </w:r>
    </w:p>
    <w:p w14:paraId="00000029" w14:textId="77777777" w:rsidR="00B177C6" w:rsidRDefault="00000000">
      <w:pPr>
        <w:numPr>
          <w:ilvl w:val="1"/>
          <w:numId w:val="4"/>
        </w:numPr>
        <w:pBdr>
          <w:top w:val="nil"/>
          <w:left w:val="nil"/>
          <w:bottom w:val="nil"/>
          <w:right w:val="nil"/>
          <w:between w:val="nil"/>
        </w:pBdr>
        <w:spacing w:after="0" w:line="252" w:lineRule="auto"/>
        <w:jc w:val="both"/>
        <w:rPr>
          <w:rFonts w:ascii="Century Gothic" w:eastAsia="Century Gothic" w:hAnsi="Century Gothic" w:cs="Century Gothic"/>
        </w:rPr>
      </w:pPr>
      <w:r>
        <w:rPr>
          <w:rFonts w:ascii="Century Gothic" w:eastAsia="Century Gothic" w:hAnsi="Century Gothic" w:cs="Century Gothic"/>
        </w:rPr>
        <w:t>Se analizó lanzar la “Convocatoria a Becas para la terminalidad de estudios de Doctorado” 20 becas de $132.941,60 c/u durante 6 meses. También se va abrir la convocatoria para el “Fortalecimiento, consolidación y/o creación de carreras de doctorados”. Todo esto está también enmarcado en el presupuesto asignado por la ex SPU en el Programa 2023 antes mencionado.</w:t>
      </w:r>
    </w:p>
    <w:p w14:paraId="0000002A" w14:textId="77777777" w:rsidR="00B177C6" w:rsidRDefault="00B177C6">
      <w:pPr>
        <w:pBdr>
          <w:top w:val="nil"/>
          <w:left w:val="nil"/>
          <w:bottom w:val="nil"/>
          <w:right w:val="nil"/>
          <w:between w:val="nil"/>
        </w:pBdr>
        <w:spacing w:after="0" w:line="252" w:lineRule="auto"/>
        <w:ind w:left="1440"/>
        <w:jc w:val="both"/>
        <w:rPr>
          <w:rFonts w:ascii="Century Gothic" w:eastAsia="Century Gothic" w:hAnsi="Century Gothic" w:cs="Century Gothic"/>
        </w:rPr>
      </w:pPr>
    </w:p>
    <w:p w14:paraId="0000002B" w14:textId="77777777" w:rsidR="00B177C6" w:rsidRDefault="00B177C6">
      <w:pPr>
        <w:spacing w:after="0" w:line="252" w:lineRule="auto"/>
        <w:ind w:left="720"/>
        <w:jc w:val="both"/>
        <w:rPr>
          <w:rFonts w:ascii="Century Gothic" w:eastAsia="Century Gothic" w:hAnsi="Century Gothic" w:cs="Century Gothic"/>
          <w:color w:val="212529"/>
        </w:rPr>
      </w:pPr>
    </w:p>
    <w:p w14:paraId="0000002C" w14:textId="77777777" w:rsidR="00B177C6" w:rsidRDefault="00B177C6">
      <w:pPr>
        <w:widowControl w:val="0"/>
        <w:spacing w:after="0" w:line="240" w:lineRule="auto"/>
        <w:jc w:val="both"/>
        <w:rPr>
          <w:rFonts w:ascii="Century Gothic" w:eastAsia="Century Gothic" w:hAnsi="Century Gothic" w:cs="Century Gothic"/>
          <w:b/>
        </w:rPr>
      </w:pPr>
    </w:p>
    <w:p w14:paraId="0000002D" w14:textId="77777777" w:rsidR="00B177C6" w:rsidRDefault="00B177C6">
      <w:pPr>
        <w:widowControl w:val="0"/>
        <w:spacing w:after="0" w:line="240" w:lineRule="auto"/>
        <w:jc w:val="both"/>
        <w:rPr>
          <w:rFonts w:ascii="Century Gothic" w:eastAsia="Century Gothic" w:hAnsi="Century Gothic" w:cs="Century Gothic"/>
        </w:rPr>
      </w:pPr>
    </w:p>
    <w:sectPr w:rsidR="00B177C6">
      <w:headerReference w:type="even" r:id="rId8"/>
      <w:headerReference w:type="default" r:id="rId9"/>
      <w:footerReference w:type="even" r:id="rId10"/>
      <w:footerReference w:type="default" r:id="rId11"/>
      <w:pgSz w:w="11907" w:h="16840"/>
      <w:pgMar w:top="851" w:right="851" w:bottom="568" w:left="136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90FC" w14:textId="77777777" w:rsidR="00F4210C" w:rsidRDefault="00F4210C">
      <w:pPr>
        <w:spacing w:after="0" w:line="240" w:lineRule="auto"/>
      </w:pPr>
      <w:r>
        <w:separator/>
      </w:r>
    </w:p>
  </w:endnote>
  <w:endnote w:type="continuationSeparator" w:id="0">
    <w:p w14:paraId="3ADCD589" w14:textId="77777777" w:rsidR="00F4210C" w:rsidRDefault="00F4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B177C6" w:rsidRDefault="00B177C6"/>
  <w:p w14:paraId="00000047" w14:textId="77777777" w:rsidR="00B177C6" w:rsidRDefault="00B177C6"/>
  <w:p w14:paraId="00000048" w14:textId="77777777" w:rsidR="00B177C6" w:rsidRDefault="00B177C6"/>
  <w:p w14:paraId="00000049" w14:textId="77777777" w:rsidR="00B177C6" w:rsidRDefault="00B177C6"/>
  <w:p w14:paraId="0000004A" w14:textId="77777777" w:rsidR="00B177C6" w:rsidRDefault="00B177C6"/>
  <w:p w14:paraId="0000004B" w14:textId="77777777" w:rsidR="00B177C6" w:rsidRDefault="00B177C6"/>
  <w:p w14:paraId="0000004C" w14:textId="77777777" w:rsidR="00B177C6" w:rsidRDefault="00B177C6"/>
  <w:p w14:paraId="0000004D" w14:textId="77777777" w:rsidR="00B177C6" w:rsidRDefault="00B177C6"/>
  <w:p w14:paraId="0000004E" w14:textId="77777777" w:rsidR="00B177C6" w:rsidRDefault="00B177C6"/>
  <w:p w14:paraId="0000004F" w14:textId="77777777" w:rsidR="00B177C6" w:rsidRDefault="00B177C6"/>
  <w:p w14:paraId="00000050" w14:textId="77777777" w:rsidR="00B177C6" w:rsidRDefault="00B177C6"/>
  <w:p w14:paraId="00000051" w14:textId="77777777" w:rsidR="00B177C6" w:rsidRDefault="00B177C6"/>
  <w:p w14:paraId="00000052" w14:textId="77777777" w:rsidR="00B177C6" w:rsidRDefault="00B177C6"/>
  <w:p w14:paraId="00000053" w14:textId="77777777" w:rsidR="00B177C6" w:rsidRDefault="00B177C6"/>
  <w:p w14:paraId="00000054" w14:textId="77777777" w:rsidR="00B177C6" w:rsidRDefault="00B177C6"/>
  <w:p w14:paraId="00000055" w14:textId="77777777" w:rsidR="00B177C6" w:rsidRDefault="00B177C6"/>
  <w:p w14:paraId="00000056" w14:textId="77777777" w:rsidR="00B177C6" w:rsidRDefault="00B177C6"/>
  <w:p w14:paraId="00000057" w14:textId="77777777" w:rsidR="00B177C6" w:rsidRDefault="00B177C6"/>
  <w:p w14:paraId="00000058" w14:textId="77777777" w:rsidR="00B177C6" w:rsidRDefault="00B177C6"/>
  <w:p w14:paraId="00000059" w14:textId="77777777" w:rsidR="00B177C6" w:rsidRDefault="00B177C6"/>
  <w:p w14:paraId="0000005A" w14:textId="77777777" w:rsidR="00B177C6" w:rsidRDefault="00B177C6"/>
  <w:p w14:paraId="0000005B" w14:textId="77777777" w:rsidR="00B177C6" w:rsidRDefault="00B177C6"/>
  <w:p w14:paraId="0000005C" w14:textId="77777777" w:rsidR="00B177C6" w:rsidRDefault="00B177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64A35F30" w:rsidR="00B177C6" w:rsidRDefault="00000000">
    <w:pPr>
      <w:jc w:val="right"/>
    </w:pPr>
    <w:r>
      <w:t xml:space="preserve">Pág. </w:t>
    </w:r>
    <w:r>
      <w:fldChar w:fldCharType="begin"/>
    </w:r>
    <w:r>
      <w:instrText>PAGE</w:instrText>
    </w:r>
    <w:r>
      <w:fldChar w:fldCharType="separate"/>
    </w:r>
    <w:r w:rsidR="00200D89">
      <w:rPr>
        <w:noProof/>
      </w:rPr>
      <w:t>1</w:t>
    </w:r>
    <w:r>
      <w:fldChar w:fldCharType="end"/>
    </w:r>
    <w:r>
      <w:t>/</w:t>
    </w:r>
    <w:r>
      <w:fldChar w:fldCharType="begin"/>
    </w:r>
    <w:r>
      <w:instrText>NUMPAGES</w:instrText>
    </w:r>
    <w:r>
      <w:fldChar w:fldCharType="separate"/>
    </w:r>
    <w:r w:rsidR="00200D89">
      <w:rPr>
        <w:noProof/>
      </w:rPr>
      <w:t>2</w:t>
    </w:r>
    <w:r>
      <w:fldChar w:fldCharType="end"/>
    </w:r>
  </w:p>
  <w:p w14:paraId="0000005E" w14:textId="77777777" w:rsidR="00B177C6" w:rsidRDefault="00B177C6"/>
  <w:p w14:paraId="0000005F" w14:textId="77777777" w:rsidR="00B177C6" w:rsidRDefault="00B17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7A8B" w14:textId="77777777" w:rsidR="00F4210C" w:rsidRDefault="00F4210C">
      <w:pPr>
        <w:spacing w:after="0" w:line="240" w:lineRule="auto"/>
      </w:pPr>
      <w:r>
        <w:separator/>
      </w:r>
    </w:p>
  </w:footnote>
  <w:footnote w:type="continuationSeparator" w:id="0">
    <w:p w14:paraId="300241BC" w14:textId="77777777" w:rsidR="00F4210C" w:rsidRDefault="00F4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B177C6" w:rsidRDefault="00B177C6"/>
  <w:p w14:paraId="0000002F" w14:textId="77777777" w:rsidR="00B177C6" w:rsidRDefault="00B177C6"/>
  <w:p w14:paraId="00000030" w14:textId="77777777" w:rsidR="00B177C6" w:rsidRDefault="00B177C6"/>
  <w:p w14:paraId="00000031" w14:textId="77777777" w:rsidR="00B177C6" w:rsidRDefault="00B177C6"/>
  <w:p w14:paraId="00000032" w14:textId="77777777" w:rsidR="00B177C6" w:rsidRDefault="00B177C6"/>
  <w:p w14:paraId="00000033" w14:textId="77777777" w:rsidR="00B177C6" w:rsidRDefault="00B177C6"/>
  <w:p w14:paraId="00000034" w14:textId="77777777" w:rsidR="00B177C6" w:rsidRDefault="00B177C6"/>
  <w:p w14:paraId="00000035" w14:textId="77777777" w:rsidR="00B177C6" w:rsidRDefault="00B177C6"/>
  <w:p w14:paraId="00000036" w14:textId="77777777" w:rsidR="00B177C6" w:rsidRDefault="00B177C6"/>
  <w:p w14:paraId="00000037" w14:textId="77777777" w:rsidR="00B177C6" w:rsidRDefault="00B177C6"/>
  <w:p w14:paraId="00000038" w14:textId="77777777" w:rsidR="00B177C6" w:rsidRDefault="00B177C6"/>
  <w:p w14:paraId="00000039" w14:textId="77777777" w:rsidR="00B177C6" w:rsidRDefault="00B177C6"/>
  <w:p w14:paraId="0000003A" w14:textId="77777777" w:rsidR="00B177C6" w:rsidRDefault="00B177C6"/>
  <w:p w14:paraId="0000003B" w14:textId="77777777" w:rsidR="00B177C6" w:rsidRDefault="00B177C6"/>
  <w:p w14:paraId="0000003C" w14:textId="77777777" w:rsidR="00B177C6" w:rsidRDefault="00B177C6"/>
  <w:p w14:paraId="0000003D" w14:textId="77777777" w:rsidR="00B177C6" w:rsidRDefault="00B177C6"/>
  <w:p w14:paraId="0000003E" w14:textId="77777777" w:rsidR="00B177C6" w:rsidRDefault="00B177C6"/>
  <w:p w14:paraId="0000003F" w14:textId="77777777" w:rsidR="00B177C6" w:rsidRDefault="00B177C6"/>
  <w:p w14:paraId="00000040" w14:textId="77777777" w:rsidR="00B177C6" w:rsidRDefault="00B177C6"/>
  <w:p w14:paraId="00000041" w14:textId="77777777" w:rsidR="00B177C6" w:rsidRDefault="00B177C6"/>
  <w:p w14:paraId="00000042" w14:textId="77777777" w:rsidR="00B177C6" w:rsidRDefault="00B177C6"/>
  <w:p w14:paraId="00000043" w14:textId="77777777" w:rsidR="00B177C6" w:rsidRDefault="00B177C6"/>
  <w:p w14:paraId="00000044" w14:textId="77777777" w:rsidR="00B177C6" w:rsidRDefault="00B17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B177C6" w:rsidRDefault="00B177C6">
    <w:pPr>
      <w:pBdr>
        <w:top w:val="nil"/>
        <w:left w:val="nil"/>
        <w:bottom w:val="nil"/>
        <w:right w:val="nil"/>
        <w:between w:val="nil"/>
      </w:pBdr>
      <w:tabs>
        <w:tab w:val="left" w:pos="681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51"/>
    <w:multiLevelType w:val="multilevel"/>
    <w:tmpl w:val="BAFA9D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3673587"/>
    <w:multiLevelType w:val="multilevel"/>
    <w:tmpl w:val="74A6732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53106156"/>
    <w:multiLevelType w:val="multilevel"/>
    <w:tmpl w:val="EC562D2C"/>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79359D"/>
    <w:multiLevelType w:val="multilevel"/>
    <w:tmpl w:val="FD44C9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735932659">
    <w:abstractNumId w:val="1"/>
  </w:num>
  <w:num w:numId="2" w16cid:durableId="262298053">
    <w:abstractNumId w:val="3"/>
  </w:num>
  <w:num w:numId="3" w16cid:durableId="1346512735">
    <w:abstractNumId w:val="0"/>
  </w:num>
  <w:num w:numId="4" w16cid:durableId="59729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C6"/>
    <w:rsid w:val="00200D89"/>
    <w:rsid w:val="00B177C6"/>
    <w:rsid w:val="00F421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029B"/>
  <w15:docId w15:val="{B2FBBCE5-6C9A-4BD1-BAEF-60E4DF9F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M2H8V1Qc6Ad5S8eTDXwvn1VtA==">CgMxLjAyCGguZ2pkZ3hzOAByITFjb01vNUVQdlZqaGpqSWVfUW1WTklRTTNpeVBKYWVjVw==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1103</Words>
  <Characters>6072</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Consejo Directivo</cp:lastModifiedBy>
  <cp:revision>2</cp:revision>
  <dcterms:created xsi:type="dcterms:W3CDTF">2024-03-05T12:09:00Z</dcterms:created>
  <dcterms:modified xsi:type="dcterms:W3CDTF">2024-03-05T12:12:00Z</dcterms:modified>
</cp:coreProperties>
</file>