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79850" w14:textId="3C994AB8" w:rsidR="00890C5A" w:rsidRDefault="001D1B11" w:rsidP="00D93D38">
      <w:pPr>
        <w:tabs>
          <w:tab w:val="left" w:pos="3544"/>
        </w:tabs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3</w:t>
      </w:r>
      <w:r w:rsidR="00000000">
        <w:rPr>
          <w:rFonts w:ascii="Century Gothic" w:eastAsia="Century Gothic" w:hAnsi="Century Gothic" w:cs="Century Gothic"/>
          <w:b/>
          <w:sz w:val="20"/>
          <w:szCs w:val="20"/>
        </w:rPr>
        <w:t>º REUNIÓN EXTRAORDINARIA - AÑO 202</w:t>
      </w:r>
      <w:r w:rsidR="00D93D38">
        <w:rPr>
          <w:rFonts w:ascii="Century Gothic" w:eastAsia="Century Gothic" w:hAnsi="Century Gothic" w:cs="Century Gothic"/>
          <w:b/>
          <w:sz w:val="20"/>
          <w:szCs w:val="20"/>
        </w:rPr>
        <w:t>4</w:t>
      </w:r>
      <w:r w:rsidR="00000000"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</w:p>
    <w:p w14:paraId="74DB1DBC" w14:textId="77777777" w:rsidR="00890C5A" w:rsidRDefault="00890C5A" w:rsidP="00D93D38">
      <w:pPr>
        <w:tabs>
          <w:tab w:val="left" w:pos="3544"/>
        </w:tabs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510ABFC" w14:textId="77777777" w:rsidR="00890C5A" w:rsidRDefault="00890C5A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3BA2B199" w14:textId="67F2B096" w:rsidR="00890C5A" w:rsidRDefault="00000000" w:rsidP="00D93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highlight w:val="yellow"/>
        </w:rPr>
        <w:t xml:space="preserve">DÍA: </w:t>
      </w:r>
      <w:r>
        <w:rPr>
          <w:rFonts w:ascii="Century Gothic" w:eastAsia="Century Gothic" w:hAnsi="Century Gothic" w:cs="Century Gothic"/>
          <w:sz w:val="20"/>
          <w:szCs w:val="20"/>
          <w:highlight w:val="yellow"/>
        </w:rPr>
        <w:t>1</w:t>
      </w:r>
      <w:r w:rsidR="001D1B11">
        <w:rPr>
          <w:rFonts w:ascii="Century Gothic" w:eastAsia="Century Gothic" w:hAnsi="Century Gothic" w:cs="Century Gothic"/>
          <w:sz w:val="20"/>
          <w:szCs w:val="20"/>
          <w:highlight w:val="yellow"/>
        </w:rPr>
        <w:t>0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yellow"/>
        </w:rPr>
        <w:t xml:space="preserve"> de </w:t>
      </w:r>
      <w:r w:rsidR="001D1B11">
        <w:rPr>
          <w:rFonts w:ascii="Century Gothic" w:eastAsia="Century Gothic" w:hAnsi="Century Gothic" w:cs="Century Gothic"/>
          <w:color w:val="000000"/>
          <w:sz w:val="20"/>
          <w:szCs w:val="20"/>
          <w:highlight w:val="yellow"/>
        </w:rPr>
        <w:t>diciemb</w:t>
      </w:r>
      <w:r>
        <w:rPr>
          <w:rFonts w:ascii="Century Gothic" w:eastAsia="Century Gothic" w:hAnsi="Century Gothic" w:cs="Century Gothic"/>
          <w:sz w:val="20"/>
          <w:szCs w:val="20"/>
          <w:highlight w:val="yellow"/>
        </w:rPr>
        <w:t xml:space="preserve">re 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yellow"/>
        </w:rPr>
        <w:t>de 202</w:t>
      </w:r>
      <w:r>
        <w:rPr>
          <w:rFonts w:ascii="Century Gothic" w:eastAsia="Century Gothic" w:hAnsi="Century Gothic" w:cs="Century Gothic"/>
          <w:sz w:val="20"/>
          <w:szCs w:val="20"/>
          <w:highlight w:val="yellow"/>
        </w:rPr>
        <w:t>4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yellow"/>
        </w:rPr>
        <w:t>.</w:t>
      </w:r>
    </w:p>
    <w:p w14:paraId="6B840642" w14:textId="77777777" w:rsidR="00890C5A" w:rsidRDefault="00000000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HORA: 19:00 horas.</w:t>
      </w:r>
    </w:p>
    <w:p w14:paraId="42F0FD59" w14:textId="77777777" w:rsidR="00890C5A" w:rsidRDefault="00000000" w:rsidP="00D93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LUGAR: MODALIDAD: Presencial (Aula 101) - Virtual </w:t>
      </w:r>
    </w:p>
    <w:p w14:paraId="32342469" w14:textId="77777777" w:rsidR="00890C5A" w:rsidRDefault="00890C5A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565AB43" w14:textId="77777777" w:rsidR="00890C5A" w:rsidRDefault="00000000" w:rsidP="00D93D3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TEMARIO</w:t>
      </w:r>
    </w:p>
    <w:p w14:paraId="7867D804" w14:textId="77777777" w:rsidR="00890C5A" w:rsidRDefault="00890C5A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2D717E0" w14:textId="77777777" w:rsidR="00890C5A" w:rsidRDefault="00000000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1.- DESIGNACIÓN DE CUATRO (4) CONSEJEROS PARA RUBRICAR EL ACTA RESUMEN DE LA SESIÓN.</w:t>
      </w:r>
    </w:p>
    <w:p w14:paraId="50BBC11E" w14:textId="77777777" w:rsidR="00890C5A" w:rsidRDefault="00890C5A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B66BE64" w14:textId="77777777" w:rsidR="001D1B11" w:rsidRPr="001D1B11" w:rsidRDefault="001D1B11" w:rsidP="001D1B11">
      <w:pPr>
        <w:spacing w:after="0" w:line="240" w:lineRule="auto"/>
        <w:ind w:left="0" w:hanging="2"/>
        <w:rPr>
          <w:rFonts w:ascii="Century Gothic" w:eastAsia="Century Gothic" w:hAnsi="Century Gothic" w:cs="Century Gothic"/>
          <w:b/>
          <w:sz w:val="20"/>
          <w:szCs w:val="20"/>
          <w:lang w:val="es-ES_tradnl"/>
        </w:rPr>
      </w:pPr>
      <w:r w:rsidRPr="001D1B11">
        <w:rPr>
          <w:rFonts w:ascii="Century Gothic" w:eastAsia="Century Gothic" w:hAnsi="Century Gothic" w:cs="Century Gothic"/>
          <w:b/>
          <w:sz w:val="20"/>
          <w:szCs w:val="20"/>
          <w:lang w:val="es-ES_tradnl"/>
        </w:rPr>
        <w:t>2.- DESPACHOS DE COMISIÓN ENTRADOS</w:t>
      </w:r>
    </w:p>
    <w:p w14:paraId="4FA2C8E9" w14:textId="77777777" w:rsidR="001D1B11" w:rsidRPr="001D1B11" w:rsidRDefault="001D1B11" w:rsidP="001D1B11">
      <w:pPr>
        <w:spacing w:after="0" w:line="240" w:lineRule="auto"/>
        <w:ind w:left="0" w:hanging="2"/>
        <w:rPr>
          <w:rFonts w:ascii="Century Gothic" w:eastAsia="Century Gothic" w:hAnsi="Century Gothic" w:cs="Century Gothic"/>
          <w:b/>
          <w:sz w:val="20"/>
          <w:szCs w:val="20"/>
          <w:lang w:val="es-ES_tradnl"/>
        </w:rPr>
      </w:pPr>
    </w:p>
    <w:p w14:paraId="33027088" w14:textId="77777777" w:rsidR="001D1B11" w:rsidRPr="001D1B11" w:rsidRDefault="001D1B11" w:rsidP="001D1B11">
      <w:pPr>
        <w:spacing w:after="0" w:line="240" w:lineRule="auto"/>
        <w:ind w:left="0" w:hanging="2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  <w:r w:rsidRPr="001D1B11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Comisiones de Legislación y Reglamento y de Enseñanza en conjunto.</w:t>
      </w:r>
    </w:p>
    <w:p w14:paraId="3C46091D" w14:textId="77777777" w:rsidR="00890C5A" w:rsidRPr="001D1B11" w:rsidRDefault="00890C5A" w:rsidP="00D93D38">
      <w:pPr>
        <w:spacing w:after="0" w:line="240" w:lineRule="auto"/>
        <w:ind w:left="0" w:hanging="2"/>
        <w:rPr>
          <w:rFonts w:ascii="Century Gothic" w:eastAsia="Century Gothic" w:hAnsi="Century Gothic" w:cs="Century Gothic"/>
          <w:sz w:val="20"/>
          <w:szCs w:val="20"/>
          <w:highlight w:val="yellow"/>
          <w:lang w:val="es-ES"/>
        </w:rPr>
      </w:pPr>
    </w:p>
    <w:p w14:paraId="7E7F9777" w14:textId="19907520" w:rsidR="001D1B11" w:rsidRPr="001D1B11" w:rsidRDefault="001D1B11" w:rsidP="001D1B11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1D1B11">
        <w:rPr>
          <w:rFonts w:ascii="Century Gothic" w:eastAsia="Century Gothic" w:hAnsi="Century Gothic" w:cs="Century Gothic"/>
          <w:b/>
          <w:sz w:val="20"/>
          <w:szCs w:val="20"/>
        </w:rPr>
        <w:t xml:space="preserve">2.1. 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 xml:space="preserve">Despacho </w:t>
      </w:r>
      <w:proofErr w:type="spellStart"/>
      <w:r w:rsidRPr="001D1B11">
        <w:rPr>
          <w:rFonts w:ascii="Century Gothic" w:eastAsia="Century Gothic" w:hAnsi="Century Gothic" w:cs="Century Gothic"/>
          <w:sz w:val="20"/>
          <w:szCs w:val="20"/>
        </w:rPr>
        <w:t>CLyR</w:t>
      </w:r>
      <w:proofErr w:type="spellEnd"/>
      <w:r w:rsidRPr="001D1B11">
        <w:rPr>
          <w:rFonts w:ascii="Century Gothic" w:eastAsia="Century Gothic" w:hAnsi="Century Gothic" w:cs="Century Gothic"/>
          <w:sz w:val="20"/>
          <w:szCs w:val="20"/>
        </w:rPr>
        <w:t xml:space="preserve"> N.º </w:t>
      </w:r>
      <w:r>
        <w:rPr>
          <w:rFonts w:ascii="Century Gothic" w:eastAsia="Century Gothic" w:hAnsi="Century Gothic" w:cs="Century Gothic"/>
          <w:sz w:val="20"/>
          <w:szCs w:val="20"/>
        </w:rPr>
        <w:t>118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 xml:space="preserve"> y CE N.º 0</w:t>
      </w:r>
      <w:r>
        <w:rPr>
          <w:rFonts w:ascii="Century Gothic" w:eastAsia="Century Gothic" w:hAnsi="Century Gothic" w:cs="Century Gothic"/>
          <w:sz w:val="20"/>
          <w:szCs w:val="20"/>
        </w:rPr>
        <w:t>24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>, recomiendan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>roponer al Consejo Superior el cierre de la inscripción a la carrera Ingeniería Biomédica</w:t>
      </w:r>
      <w:r>
        <w:rPr>
          <w:rFonts w:ascii="Century Gothic" w:eastAsia="Century Gothic" w:hAnsi="Century Gothic" w:cs="Century Gothic"/>
          <w:sz w:val="20"/>
          <w:szCs w:val="20"/>
        </w:rPr>
        <w:t>; p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 xml:space="preserve">ermitir la reinscripción al Plan de Estudios 2019 (Resolución </w:t>
      </w:r>
      <w:proofErr w:type="spellStart"/>
      <w:r w:rsidRPr="001D1B11">
        <w:rPr>
          <w:rFonts w:ascii="Century Gothic" w:eastAsia="Century Gothic" w:hAnsi="Century Gothic" w:cs="Century Gothic"/>
          <w:sz w:val="20"/>
          <w:szCs w:val="20"/>
        </w:rPr>
        <w:t>N.°</w:t>
      </w:r>
      <w:proofErr w:type="spellEnd"/>
      <w:r w:rsidRPr="001D1B11">
        <w:rPr>
          <w:rFonts w:ascii="Century Gothic" w:eastAsia="Century Gothic" w:hAnsi="Century Gothic" w:cs="Century Gothic"/>
          <w:sz w:val="20"/>
          <w:szCs w:val="20"/>
        </w:rPr>
        <w:t xml:space="preserve"> 315/2019 de Consejo Superior) hasta el año académico 2030 inclusive</w:t>
      </w:r>
      <w:r>
        <w:rPr>
          <w:rFonts w:ascii="Century Gothic" w:eastAsia="Century Gothic" w:hAnsi="Century Gothic" w:cs="Century Gothic"/>
          <w:sz w:val="20"/>
          <w:szCs w:val="20"/>
        </w:rPr>
        <w:t>; y p</w:t>
      </w:r>
      <w:r w:rsidRPr="001D1B11">
        <w:rPr>
          <w:rFonts w:ascii="Century Gothic" w:eastAsia="Century Gothic" w:hAnsi="Century Gothic" w:cs="Century Gothic"/>
          <w:sz w:val="20"/>
          <w:szCs w:val="20"/>
        </w:rPr>
        <w:t>roponer al Consejo Superior la baja del Plan de Estudio a partir del 1º de enero del año 2031.</w:t>
      </w:r>
    </w:p>
    <w:p w14:paraId="7FE2B287" w14:textId="77777777" w:rsidR="001D1B11" w:rsidRPr="001D1B11" w:rsidRDefault="001D1B11" w:rsidP="001D1B11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3CD5AAA2" w14:textId="36E7E073" w:rsidR="00890C5A" w:rsidRDefault="00890C5A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DBE16E7" w14:textId="77777777" w:rsidR="001D1B11" w:rsidRDefault="001D1B11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FC099F8" w14:textId="77777777" w:rsidR="001D1B11" w:rsidRDefault="001D1B11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609BA7BE" w14:textId="77777777" w:rsidR="001D1B11" w:rsidRDefault="001D1B11" w:rsidP="00D93D38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6BFFDF17" w14:textId="77777777" w:rsidR="00890C5A" w:rsidRDefault="00000000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br w:type="page"/>
      </w:r>
      <w:r>
        <w:rPr>
          <w:rFonts w:ascii="Century Gothic" w:eastAsia="Century Gothic" w:hAnsi="Century Gothic" w:cs="Century Gothic"/>
          <w:b/>
          <w:sz w:val="20"/>
          <w:szCs w:val="20"/>
          <w:highlight w:val="yellow"/>
        </w:rPr>
        <w:lastRenderedPageBreak/>
        <w:t>1.- DESIGNACIÓN DE CUATRO (4) CONSEJEROS PARA RUBRICAR EL ACTA RESUMEN DE LA SESIÓN.</w:t>
      </w:r>
    </w:p>
    <w:p w14:paraId="521E782E" w14:textId="77777777" w:rsidR="00890C5A" w:rsidRDefault="00890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44965FC5" w14:textId="0A4E493A" w:rsidR="001D1B11" w:rsidRDefault="001D1B1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67900DFD" w14:textId="77777777" w:rsidR="00827F5D" w:rsidRPr="00827F5D" w:rsidRDefault="00827F5D" w:rsidP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  <w:sz w:val="20"/>
          <w:szCs w:val="20"/>
          <w:highlight w:val="yellow"/>
          <w:lang w:val="es-ES_tradnl"/>
        </w:rPr>
      </w:pPr>
      <w:r w:rsidRPr="00827F5D">
        <w:rPr>
          <w:rFonts w:ascii="Century Gothic" w:eastAsia="Century Gothic" w:hAnsi="Century Gothic" w:cs="Century Gothic"/>
          <w:b/>
          <w:sz w:val="20"/>
          <w:szCs w:val="20"/>
          <w:highlight w:val="yellow"/>
          <w:lang w:val="es-ES_tradnl"/>
        </w:rPr>
        <w:lastRenderedPageBreak/>
        <w:t>2.- DESPACHOS DE COMISIÓN ENTRADOS</w:t>
      </w:r>
    </w:p>
    <w:p w14:paraId="1C758644" w14:textId="77777777" w:rsidR="00827F5D" w:rsidRPr="00827F5D" w:rsidRDefault="00827F5D" w:rsidP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  <w:sz w:val="20"/>
          <w:szCs w:val="20"/>
          <w:highlight w:val="yellow"/>
          <w:lang w:val="es-ES_tradnl"/>
        </w:rPr>
      </w:pPr>
    </w:p>
    <w:p w14:paraId="63ACB2FF" w14:textId="77777777" w:rsidR="00827F5D" w:rsidRPr="00827F5D" w:rsidRDefault="00827F5D" w:rsidP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  <w:sz w:val="20"/>
          <w:szCs w:val="20"/>
          <w:highlight w:val="yellow"/>
          <w:lang w:val="es-ES"/>
        </w:rPr>
      </w:pPr>
      <w:r w:rsidRPr="00827F5D">
        <w:rPr>
          <w:rFonts w:ascii="Century Gothic" w:eastAsia="Century Gothic" w:hAnsi="Century Gothic" w:cs="Century Gothic"/>
          <w:b/>
          <w:sz w:val="20"/>
          <w:szCs w:val="20"/>
          <w:highlight w:val="yellow"/>
          <w:lang w:val="es-ES"/>
        </w:rPr>
        <w:t>Comisiones de Legislación y Reglamento y de Enseñanza en conjunto.</w:t>
      </w:r>
    </w:p>
    <w:p w14:paraId="735BC7BC" w14:textId="77777777" w:rsidR="00827F5D" w:rsidRPr="00827F5D" w:rsidRDefault="00827F5D" w:rsidP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  <w:highlight w:val="yellow"/>
          <w:lang w:val="es-ES"/>
        </w:rPr>
      </w:pPr>
    </w:p>
    <w:p w14:paraId="230A751B" w14:textId="77777777" w:rsidR="00827F5D" w:rsidRPr="00827F5D" w:rsidRDefault="00827F5D" w:rsidP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827F5D">
        <w:rPr>
          <w:rFonts w:ascii="Century Gothic" w:eastAsia="Century Gothic" w:hAnsi="Century Gothic" w:cs="Century Gothic"/>
          <w:b/>
          <w:sz w:val="20"/>
          <w:szCs w:val="20"/>
          <w:highlight w:val="yellow"/>
        </w:rPr>
        <w:t xml:space="preserve">2.1. </w:t>
      </w:r>
      <w:r w:rsidRPr="00827F5D">
        <w:rPr>
          <w:rFonts w:ascii="Century Gothic" w:eastAsia="Century Gothic" w:hAnsi="Century Gothic" w:cs="Century Gothic"/>
          <w:sz w:val="20"/>
          <w:szCs w:val="20"/>
          <w:highlight w:val="yellow"/>
        </w:rPr>
        <w:t xml:space="preserve">Despacho </w:t>
      </w:r>
      <w:proofErr w:type="spellStart"/>
      <w:r w:rsidRPr="00827F5D">
        <w:rPr>
          <w:rFonts w:ascii="Century Gothic" w:eastAsia="Century Gothic" w:hAnsi="Century Gothic" w:cs="Century Gothic"/>
          <w:sz w:val="20"/>
          <w:szCs w:val="20"/>
          <w:highlight w:val="yellow"/>
        </w:rPr>
        <w:t>CLyR</w:t>
      </w:r>
      <w:proofErr w:type="spellEnd"/>
      <w:r w:rsidRPr="00827F5D">
        <w:rPr>
          <w:rFonts w:ascii="Century Gothic" w:eastAsia="Century Gothic" w:hAnsi="Century Gothic" w:cs="Century Gothic"/>
          <w:sz w:val="20"/>
          <w:szCs w:val="20"/>
          <w:highlight w:val="yellow"/>
        </w:rPr>
        <w:t xml:space="preserve"> N.º 118 y CE N.º 024, recomiendan proponer al Consejo Superior el cierre de la inscripción a la carrera Ingeniería Biomédica; permitir la reinscripción al Plan de Estudios 2019 (Resolución </w:t>
      </w:r>
      <w:proofErr w:type="spellStart"/>
      <w:r w:rsidRPr="00827F5D">
        <w:rPr>
          <w:rFonts w:ascii="Century Gothic" w:eastAsia="Century Gothic" w:hAnsi="Century Gothic" w:cs="Century Gothic"/>
          <w:sz w:val="20"/>
          <w:szCs w:val="20"/>
          <w:highlight w:val="yellow"/>
        </w:rPr>
        <w:t>N.°</w:t>
      </w:r>
      <w:proofErr w:type="spellEnd"/>
      <w:r w:rsidRPr="00827F5D">
        <w:rPr>
          <w:rFonts w:ascii="Century Gothic" w:eastAsia="Century Gothic" w:hAnsi="Century Gothic" w:cs="Century Gothic"/>
          <w:sz w:val="20"/>
          <w:szCs w:val="20"/>
          <w:highlight w:val="yellow"/>
        </w:rPr>
        <w:t xml:space="preserve"> 315/2019 de Consejo Superior) hasta el año académico 2030 inclusive; y proponer al Consejo Superior la baja del Plan de Estudio a partir del 1º de enero del año 2031.</w:t>
      </w:r>
    </w:p>
    <w:p w14:paraId="785BF9CD" w14:textId="77777777" w:rsidR="00890C5A" w:rsidRDefault="00890C5A" w:rsidP="00827F5D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3A446AB" w14:textId="77777777" w:rsidR="00827F5D" w:rsidRPr="00F06303" w:rsidRDefault="00827F5D" w:rsidP="00F06303">
      <w:pPr>
        <w:tabs>
          <w:tab w:val="left" w:pos="7225"/>
        </w:tabs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F06303">
        <w:rPr>
          <w:rFonts w:ascii="Century Gothic" w:eastAsia="Century Gothic" w:hAnsi="Century Gothic" w:cs="Century Gothic"/>
          <w:sz w:val="20"/>
          <w:szCs w:val="20"/>
        </w:rPr>
        <w:t xml:space="preserve">COMISIONES DE LEGISLACIÓN Y REGLAMENTO Y DE </w:t>
      </w: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>COMISIONES DE LEGISLACIÓN Y REGLAMENTO Y DE ENSEÑANZA</w:t>
      </w:r>
    </w:p>
    <w:p w14:paraId="2037BC47" w14:textId="77777777" w:rsidR="00827F5D" w:rsidRPr="00F06303" w:rsidRDefault="00827F5D" w:rsidP="00F06303">
      <w:pPr>
        <w:tabs>
          <w:tab w:val="left" w:pos="7225"/>
        </w:tabs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>(EN CONJUNTO)</w:t>
      </w:r>
    </w:p>
    <w:p w14:paraId="153EC570" w14:textId="77777777" w:rsidR="00827F5D" w:rsidRPr="00F06303" w:rsidRDefault="00827F5D" w:rsidP="00F06303">
      <w:pPr>
        <w:tabs>
          <w:tab w:val="left" w:pos="7225"/>
        </w:tabs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DESPACHO </w:t>
      </w:r>
      <w:proofErr w:type="spellStart"/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>LyR</w:t>
      </w:r>
      <w:proofErr w:type="spellEnd"/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N.º </w:t>
      </w:r>
      <w:r>
        <w:rPr>
          <w:rFonts w:ascii="Century Gothic" w:eastAsia="Century Gothic" w:hAnsi="Century Gothic" w:cs="Century Gothic"/>
          <w:sz w:val="20"/>
          <w:szCs w:val="20"/>
          <w:lang w:val="es-ES"/>
        </w:rPr>
        <w:t>118</w:t>
      </w:r>
    </w:p>
    <w:p w14:paraId="242924C5" w14:textId="77777777" w:rsidR="00827F5D" w:rsidRPr="00F06303" w:rsidRDefault="00827F5D" w:rsidP="00F06303">
      <w:pPr>
        <w:tabs>
          <w:tab w:val="left" w:pos="7225"/>
        </w:tabs>
        <w:spacing w:after="0" w:line="240" w:lineRule="auto"/>
        <w:ind w:left="0" w:hanging="2"/>
        <w:jc w:val="center"/>
        <w:rPr>
          <w:rFonts w:ascii="Century Gothic" w:eastAsia="Century Gothic" w:hAnsi="Century Gothic" w:cs="Century Gothic"/>
          <w:sz w:val="20"/>
          <w:szCs w:val="20"/>
          <w:lang w:val="es-ES"/>
        </w:rPr>
      </w:pPr>
      <w:r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                      </w:t>
      </w: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>CE N.º 02</w:t>
      </w:r>
      <w:r>
        <w:rPr>
          <w:rFonts w:ascii="Century Gothic" w:eastAsia="Century Gothic" w:hAnsi="Century Gothic" w:cs="Century Gothic"/>
          <w:sz w:val="20"/>
          <w:szCs w:val="20"/>
          <w:lang w:val="es-ES"/>
        </w:rPr>
        <w:t>4</w:t>
      </w:r>
    </w:p>
    <w:p w14:paraId="59744D31" w14:textId="77777777" w:rsidR="00827F5D" w:rsidRDefault="00827F5D" w:rsidP="00F06303">
      <w:pPr>
        <w:tabs>
          <w:tab w:val="left" w:pos="7225"/>
        </w:tabs>
        <w:spacing w:after="0" w:line="240" w:lineRule="auto"/>
        <w:ind w:left="0" w:hanging="2"/>
        <w:jc w:val="right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GENERAL PICO, </w:t>
      </w:r>
      <w:r>
        <w:rPr>
          <w:rFonts w:ascii="Century Gothic" w:eastAsia="Century Gothic" w:hAnsi="Century Gothic" w:cs="Century Gothic"/>
          <w:sz w:val="20"/>
          <w:szCs w:val="20"/>
          <w:lang w:val="es-ES"/>
        </w:rPr>
        <w:t>04</w:t>
      </w: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de </w:t>
      </w:r>
      <w:r>
        <w:rPr>
          <w:rFonts w:ascii="Century Gothic" w:eastAsia="Century Gothic" w:hAnsi="Century Gothic" w:cs="Century Gothic"/>
          <w:sz w:val="20"/>
          <w:szCs w:val="20"/>
          <w:lang w:val="es-ES"/>
        </w:rPr>
        <w:t>diciem</w:t>
      </w:r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bre de </w:t>
      </w:r>
      <w:sdt>
        <w:sdtPr>
          <w:rPr>
            <w:rFonts w:ascii="Century Gothic" w:eastAsia="Century Gothic" w:hAnsi="Century Gothic" w:cs="Century Gothic"/>
            <w:sz w:val="20"/>
            <w:szCs w:val="20"/>
            <w:lang w:val="es-ES"/>
          </w:rPr>
          <w:tag w:val="goog_rdk_0"/>
          <w:id w:val="1830635081"/>
        </w:sdtPr>
        <w:sdtContent/>
      </w:sdt>
      <w:r w:rsidRPr="00F06303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2024 </w:t>
      </w:r>
    </w:p>
    <w:p w14:paraId="5DC23068" w14:textId="77777777" w:rsidR="00827F5D" w:rsidRPr="00F06303" w:rsidRDefault="00827F5D" w:rsidP="00F06303">
      <w:pPr>
        <w:tabs>
          <w:tab w:val="left" w:pos="7225"/>
        </w:tabs>
        <w:spacing w:after="0" w:line="240" w:lineRule="auto"/>
        <w:ind w:left="0" w:hanging="2"/>
        <w:jc w:val="right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DC7FD4A" w14:textId="77777777" w:rsidR="00827F5D" w:rsidRDefault="00827F5D">
      <w:pPr>
        <w:tabs>
          <w:tab w:val="left" w:pos="7225"/>
        </w:tabs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VISTO: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</w:p>
    <w:p w14:paraId="7C4CF538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  <w:highlight w:val="yellow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0"/>
          <w:szCs w:val="20"/>
        </w:rPr>
        <w:t>El Expediente FI 383/2024, relacionado con el cierre de carrera Ingeniería Biomédica, y</w:t>
      </w:r>
    </w:p>
    <w:p w14:paraId="2F685091" w14:textId="77777777" w:rsidR="00827F5D" w:rsidRDefault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FE7A1D1" w14:textId="77777777" w:rsidR="00827F5D" w:rsidRDefault="00827F5D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CONSIDERANDO:</w:t>
      </w:r>
    </w:p>
    <w:p w14:paraId="0437B249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Que mediante Resolución </w:t>
      </w:r>
      <w:hyperlink r:id="rId8">
        <w:proofErr w:type="spellStart"/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>N.°</w:t>
        </w:r>
        <w:proofErr w:type="spellEnd"/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 xml:space="preserve"> 315/2019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 xml:space="preserve"> del Consejo Superior se crea en el ámbito de la Facultad de Ingeniería de la Universidad Nacional de La Pampa (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UNLPam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) la carrera Ingeniería Biomédica. </w:t>
      </w:r>
    </w:p>
    <w:p w14:paraId="67BF4873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 el artículo 43 de la Ley de Educación Superior (LES) N.º 24.521 establece que: “los planes de estudio de carreras correspondientes a profesiones regulados por el Estado, cuyo ejercicio pudiera comprometer el interés público, poniendo en riesgo de modo directo la salud, la seguridad o los bienes de las/os habitantes, deben tener en cuenta la carga horaria mínima, los contenidos curriculares básicos y los criterios sobre la intensidad de la formación práctica que establezca el Ministerio de Educación de la Nación en acuerdo con el Consejo de Universidades”.</w:t>
      </w:r>
    </w:p>
    <w:p w14:paraId="304B4AE1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Que, además, el Ministerio de Educación de la Nación establece, con acuerdo del Consejo de Universidades, las actividades profesionales reservadas exclusivamente a quienes hayan obtenido un título comprendido en la nómina del artículo 43 de dicha LES.</w:t>
      </w:r>
    </w:p>
    <w:p w14:paraId="5384712E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 en el inciso b) del mencionado artículo 43 se especifica: “Las carreras respectivas deberán ser acreditadas periódicamente por la Comisión Nacional de Evaluación y Acreditación Universitaria o por entidades privadas constituidas con ese fin debidamente reconocidas”.</w:t>
      </w:r>
    </w:p>
    <w:p w14:paraId="1AF6CA94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Que la carrera Ingeniería Biomédica fue acreditada como proyecto por la Comisión Nacional de Evaluación y Acreditación Universitaria (CONEAU) mediante Dictamen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N.°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IF-2020-37049464-APN-CONEAU#ME y, posteriormente, obtuvo su correspondiente otorgamiento de validez nacional del título mediante la Resolución </w:t>
      </w: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N.º RESOL-2021-1036-APN-ME del Ministerio de Educación de la Nación.</w:t>
      </w:r>
    </w:p>
    <w:p w14:paraId="08C65394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Que el artículo 3 de la Resolución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N°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315/2019 del Consejo Superior resuelve “Establecer que la implementación de la carrera Ingeniería Biomédica queda supeditada a la obtención de fondos presupuestarios obtenidos para tal fin”.</w:t>
      </w:r>
    </w:p>
    <w:p w14:paraId="3B811701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trike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 la Facultad de Ingeniería abrió la inscripción de la carrera en febrero de 2022, para el ingreso de aspirantes y la implementación del primer año.</w:t>
      </w:r>
    </w:p>
    <w:p w14:paraId="625C4AB7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Que mediante Resolución </w:t>
      </w:r>
      <w:hyperlink r:id="rId9">
        <w:proofErr w:type="spellStart"/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>N.°</w:t>
        </w:r>
        <w:proofErr w:type="spellEnd"/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 xml:space="preserve"> 062/22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, el Consejo Directivo de la Facultad de Ingeniería solicitó informe al Decano sobre la situación de la carrera de Ingeniería Biomédica, en cuanto a su financiamiento, la apertura de inscripciones para nuevos estudiantes y la habilitación de pase de estudiantes de otras carreras con asignaturas equivalentes.</w:t>
      </w:r>
    </w:p>
    <w:p w14:paraId="09AB4805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Que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como respuesta a dicha solicitud, el Decano de la Facultad de Ingeniería presentó el </w:t>
      </w:r>
      <w:hyperlink r:id="rId10"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>Informe Ingeniería Biomédica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, donde se detallan aspectos administrativos, académicos y financieros con relación a la implementación de la carrera.</w:t>
      </w:r>
    </w:p>
    <w:p w14:paraId="0AF68CC2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Que el día 26 de octubre de 2022 se celebró un Convenio específico entre la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UNLPam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y el Ministerio de Educación de la Provincia de La Pampa donde se resuelve: “EL MINISTERIO </w:t>
      </w:r>
      <w:r>
        <w:rPr>
          <w:rFonts w:ascii="Century Gothic" w:eastAsia="Century Gothic" w:hAnsi="Century Gothic" w:cs="Century Gothic"/>
          <w:sz w:val="20"/>
          <w:szCs w:val="20"/>
        </w:rPr>
        <w:lastRenderedPageBreak/>
        <w:t xml:space="preserve">contribuirá con las erogaciones que demande la implementación de la carrera Ingeniería Biomédica por el término de una (1) cohorte”. </w:t>
      </w:r>
    </w:p>
    <w:p w14:paraId="2F82B702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 en el Convenio nombrado se expresa que el alcance de dicho acuerdo es el dictado de una (1) cohorte a partir del primer cuatrimestre de 2022 y comprende los seis (6) años de duración de la carrera.</w:t>
      </w:r>
    </w:p>
    <w:p w14:paraId="44B39AF9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Que la Facultad de Ingeniería no cuenta con los recursos presupuestarios para asegurar el financiamiento para otras cohortes por lo que corresponde suspender la inscripción a la carrera de Ingeniería Biomédica hasta que se cuenten con los recursos específicos.</w:t>
      </w:r>
    </w:p>
    <w:p w14:paraId="394D14BB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Que, en consecuencia, mediante Resolución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N.°</w:t>
      </w:r>
      <w:proofErr w:type="spellEnd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 432/22 de Decanato se cierra transitoriamente la inscripción a la carrera de Ingeniería Biomédica.</w:t>
      </w:r>
    </w:p>
    <w:p w14:paraId="5D210E57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Que en el año 2022 se inscribieron veinte (20) personas en la carrera, teniendo en cuenta estudiantes y aspirantes, once (11) de ellos/as estaban inscriptos/as a otras carreras de la Facultad de Ingeniería teniendo distintos grados de avance.</w:t>
      </w:r>
    </w:p>
    <w:p w14:paraId="58301996" w14:textId="77777777" w:rsidR="00827F5D" w:rsidRDefault="00827F5D" w:rsidP="00827F5D">
      <w:pPr>
        <w:spacing w:after="0" w:line="240" w:lineRule="auto"/>
        <w:ind w:left="-2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Que en el año 2024 se reinscribieron en la carrera Ingeniería Biomédica una cantidad de siete (7) personas, siendo quienes se encuentran activos/as, cursando asignaturas de diferentes años.</w:t>
      </w:r>
    </w:p>
    <w:p w14:paraId="4852849B" w14:textId="77777777" w:rsidR="00827F5D" w:rsidRPr="00F06303" w:rsidRDefault="00827F5D" w:rsidP="00827F5D">
      <w:pPr>
        <w:widowControl w:val="0"/>
        <w:spacing w:after="0" w:line="240" w:lineRule="auto"/>
        <w:ind w:left="-2" w:right="-24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F06303">
        <w:rPr>
          <w:rFonts w:ascii="Century Gothic" w:eastAsia="Century Gothic" w:hAnsi="Century Gothic" w:cs="Century Gothic"/>
          <w:sz w:val="20"/>
          <w:szCs w:val="20"/>
        </w:rPr>
        <w:t xml:space="preserve">POR ELLO </w:t>
      </w:r>
    </w:p>
    <w:p w14:paraId="20B6047A" w14:textId="77777777" w:rsidR="00827F5D" w:rsidRPr="00F06303" w:rsidRDefault="00827F5D" w:rsidP="00827F5D">
      <w:pPr>
        <w:widowControl w:val="0"/>
        <w:spacing w:after="0" w:line="240" w:lineRule="auto"/>
        <w:ind w:left="-2" w:right="-24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F06303">
        <w:rPr>
          <w:rFonts w:ascii="Century Gothic" w:eastAsia="Century Gothic" w:hAnsi="Century Gothic" w:cs="Century Gothic"/>
          <w:sz w:val="20"/>
          <w:szCs w:val="20"/>
        </w:rPr>
        <w:t>LAS COMISIONES DE LEGISLACIÓN Y REGLAMENTO Y DE ENSEÑANZA (EN CONJUNTO)</w:t>
      </w:r>
    </w:p>
    <w:p w14:paraId="01D691D1" w14:textId="77777777" w:rsidR="00827F5D" w:rsidRPr="00F06303" w:rsidRDefault="00827F5D" w:rsidP="00827F5D">
      <w:pPr>
        <w:widowControl w:val="0"/>
        <w:spacing w:after="0" w:line="240" w:lineRule="auto"/>
        <w:ind w:left="-2" w:right="-24" w:firstLineChars="283" w:firstLine="566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F06303">
        <w:rPr>
          <w:rFonts w:ascii="Century Gothic" w:eastAsia="Century Gothic" w:hAnsi="Century Gothic" w:cs="Century Gothic"/>
          <w:sz w:val="20"/>
          <w:szCs w:val="20"/>
        </w:rPr>
        <w:t>DEL CONSEJO DIRECTIVO DE LA FACULTAD DE INGENIERÍA</w:t>
      </w:r>
    </w:p>
    <w:p w14:paraId="1FA4BC12" w14:textId="77777777" w:rsidR="00827F5D" w:rsidRPr="00F06303" w:rsidRDefault="00827F5D" w:rsidP="00F06303">
      <w:pPr>
        <w:widowControl w:val="0"/>
        <w:spacing w:after="0" w:line="240" w:lineRule="auto"/>
        <w:ind w:left="0" w:right="-24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DCFBA6A" w14:textId="77777777" w:rsidR="00827F5D" w:rsidRPr="00F06303" w:rsidRDefault="00827F5D" w:rsidP="00F06303">
      <w:pPr>
        <w:widowControl w:val="0"/>
        <w:spacing w:after="0" w:line="240" w:lineRule="auto"/>
        <w:ind w:left="0" w:right="-24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F06303">
        <w:rPr>
          <w:rFonts w:ascii="Century Gothic" w:eastAsia="Century Gothic" w:hAnsi="Century Gothic" w:cs="Century Gothic"/>
          <w:sz w:val="20"/>
          <w:szCs w:val="20"/>
        </w:rPr>
        <w:t>RECOMIENDAN</w:t>
      </w:r>
    </w:p>
    <w:p w14:paraId="752F1DA4" w14:textId="77777777" w:rsidR="00827F5D" w:rsidRDefault="00827F5D">
      <w:pPr>
        <w:widowControl w:val="0"/>
        <w:spacing w:after="0" w:line="240" w:lineRule="auto"/>
        <w:ind w:left="0" w:right="-24" w:hanging="2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2B911211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Artículo 1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Proponer al Consejo Superior el cierre de la inscripción a la carrera Ingeniería Biomédica.</w:t>
      </w:r>
      <w:r>
        <w:rPr>
          <w:rFonts w:ascii="Century Gothic" w:eastAsia="Century Gothic" w:hAnsi="Century Gothic" w:cs="Century Gothic"/>
          <w:sz w:val="20"/>
          <w:szCs w:val="20"/>
        </w:rPr>
        <w:br/>
      </w:r>
    </w:p>
    <w:p w14:paraId="776EE8D2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sz w:val="20"/>
          <w:szCs w:val="20"/>
        </w:rPr>
        <w:t>Artículo 2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 Permitir la </w:t>
      </w: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reinscripción al Plan de Estudios 2019 (Resolución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N.°</w:t>
      </w:r>
      <w:proofErr w:type="spellEnd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 315/2019 de Consejo Superior) hasta el año académico 2030 inclusive.</w:t>
      </w:r>
    </w:p>
    <w:p w14:paraId="74E6A78A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</w:p>
    <w:p w14:paraId="4FB63EA9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Artículo 3</w:t>
      </w:r>
      <w:proofErr w:type="gramStart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 Proponer al Consejo Superior la baja del Plan de Estudio 2019 (Resolución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N.°</w:t>
      </w:r>
      <w:proofErr w:type="spellEnd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 xml:space="preserve"> 315/2019 de Consejo Superior) de la carrera Ingeniería Biomédica a partir del 1º de enero del año 2031.</w:t>
      </w:r>
    </w:p>
    <w:p w14:paraId="1D8EB808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  <w:highlight w:val="white"/>
        </w:rPr>
      </w:pPr>
    </w:p>
    <w:p w14:paraId="0736CE32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Artículo 4</w:t>
      </w:r>
      <w:proofErr w:type="gramStart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  <w:highlight w:val="white"/>
        </w:rPr>
        <w:t> Proponer al Consejo Superior el cierre de la carrera Ingeniería Biomédica a partir del 1 de enero del año 2031.</w:t>
      </w:r>
    </w:p>
    <w:p w14:paraId="5C910BFC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4385A8C0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Artículo 5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 Notificar a cada uno/a de los/as estudiantes inscriptos a la carrera Ingeniería Biomédica (Plan de Estudios 2019).</w:t>
      </w:r>
    </w:p>
    <w:p w14:paraId="79A79E4B" w14:textId="77777777" w:rsidR="00827F5D" w:rsidRDefault="00827F5D">
      <w:pPr>
        <w:spacing w:after="0"/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2E70AD91" w14:textId="77777777" w:rsidR="00827F5D" w:rsidRDefault="00827F5D" w:rsidP="00F06303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Artículo 6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°.-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De forma.-</w:t>
      </w:r>
    </w:p>
    <w:tbl>
      <w:tblPr>
        <w:tblW w:w="8940" w:type="dxa"/>
        <w:tblLayout w:type="fixed"/>
        <w:tblLook w:val="0400" w:firstRow="0" w:lastRow="0" w:firstColumn="0" w:lastColumn="0" w:noHBand="0" w:noVBand="1"/>
      </w:tblPr>
      <w:tblGrid>
        <w:gridCol w:w="4471"/>
        <w:gridCol w:w="4469"/>
      </w:tblGrid>
      <w:tr w:rsidR="00827F5D" w:rsidRPr="00F06303" w14:paraId="73A66400" w14:textId="77777777" w:rsidTr="00F06303">
        <w:trPr>
          <w:trHeight w:val="191"/>
        </w:trPr>
        <w:tc>
          <w:tcPr>
            <w:tcW w:w="4471" w:type="dxa"/>
            <w:hideMark/>
          </w:tcPr>
          <w:p w14:paraId="33BF5324" w14:textId="77777777" w:rsidR="00827F5D" w:rsidRPr="00F06303" w:rsidRDefault="00827F5D" w:rsidP="00F06303">
            <w:pPr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 w:rsidRPr="00F0630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LyR</w:t>
            </w:r>
            <w:proofErr w:type="spellEnd"/>
          </w:p>
        </w:tc>
        <w:tc>
          <w:tcPr>
            <w:tcW w:w="4469" w:type="dxa"/>
            <w:hideMark/>
          </w:tcPr>
          <w:p w14:paraId="4DE56026" w14:textId="77777777" w:rsidR="00827F5D" w:rsidRPr="00F06303" w:rsidRDefault="00827F5D" w:rsidP="00F06303">
            <w:pPr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CE</w:t>
            </w:r>
          </w:p>
        </w:tc>
      </w:tr>
      <w:tr w:rsidR="00827F5D" w:rsidRPr="00F06303" w14:paraId="0452047A" w14:textId="77777777" w:rsidTr="00F06303">
        <w:trPr>
          <w:trHeight w:val="1488"/>
        </w:trPr>
        <w:tc>
          <w:tcPr>
            <w:tcW w:w="4471" w:type="dxa"/>
          </w:tcPr>
          <w:p w14:paraId="1A04B194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AZCONA, P.</w:t>
            </w:r>
          </w:p>
          <w:p w14:paraId="411D4924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KOVAC, F.</w:t>
            </w:r>
          </w:p>
          <w:p w14:paraId="1B8BC3C5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RIBEIRO, M.</w:t>
            </w:r>
          </w:p>
          <w:p w14:paraId="5BE2204D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PAPA, F.</w:t>
            </w:r>
          </w:p>
          <w:p w14:paraId="0CFE0B9C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es-ES"/>
              </w:rPr>
            </w:pPr>
          </w:p>
        </w:tc>
        <w:tc>
          <w:tcPr>
            <w:tcW w:w="4469" w:type="dxa"/>
          </w:tcPr>
          <w:p w14:paraId="46E11FD1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AZCONA, P.</w:t>
            </w:r>
          </w:p>
          <w:p w14:paraId="458E63C0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KOVAC, F.</w:t>
            </w:r>
          </w:p>
          <w:p w14:paraId="029599E4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RIBEIRO, M.</w:t>
            </w:r>
          </w:p>
          <w:p w14:paraId="403D6AD6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F0630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PAPA, F.</w:t>
            </w:r>
          </w:p>
          <w:p w14:paraId="0F3877A1" w14:textId="77777777" w:rsidR="00827F5D" w:rsidRPr="00F06303" w:rsidRDefault="00827F5D" w:rsidP="00F06303">
            <w:pPr>
              <w:ind w:left="0" w:hanging="2"/>
              <w:jc w:val="both"/>
              <w:rPr>
                <w:rFonts w:ascii="Century Gothic" w:eastAsia="Century Gothic" w:hAnsi="Century Gothic" w:cs="Century Gothic"/>
                <w:sz w:val="20"/>
                <w:szCs w:val="20"/>
                <w:lang w:val="es-ES"/>
              </w:rPr>
            </w:pPr>
          </w:p>
        </w:tc>
      </w:tr>
    </w:tbl>
    <w:p w14:paraId="62E7D5D2" w14:textId="77777777" w:rsidR="00827F5D" w:rsidRDefault="00827F5D" w:rsidP="0009635A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sectPr w:rsidR="00827F5D" w:rsidSect="008F3A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418" w:bottom="851" w:left="15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E2B51" w14:textId="77777777" w:rsidR="00FA7BD2" w:rsidRDefault="00FA7BD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79892A1" w14:textId="77777777" w:rsidR="00FA7BD2" w:rsidRDefault="00FA7BD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FC27D3-4433-48A8-B920-FAE68698B507}"/>
    <w:embedBold r:id="rId2" w:fontKey="{A9E98A51-2042-4E1C-911F-02DEA8D508C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17C5481-560C-403B-90D1-8BF04BEE94E7}"/>
    <w:embedBold r:id="rId4" w:fontKey="{5D4FC3A3-82FB-42D3-ABCB-0F6FE458F1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3A68E23-F99D-45EF-BAB6-38601CEFEE0A}"/>
  </w:font>
  <w:font w:name="DejaVu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BCA5F07-D03B-46AB-8CF4-4409F24FEFF1}"/>
    <w:embedItalic r:id="rId7" w:fontKey="{17C45E59-7E79-4D42-A691-46FF9D890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20D8ED-3374-4D74-B6B9-AB098743C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206B1" w14:textId="77777777" w:rsidR="00890C5A" w:rsidRDefault="00890C5A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EF835" w14:textId="77777777" w:rsidR="00890C5A" w:rsidRDefault="00890C5A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5CC2E" w14:textId="77777777" w:rsidR="00890C5A" w:rsidRDefault="00890C5A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86AA3" w14:textId="77777777" w:rsidR="00FA7BD2" w:rsidRDefault="00FA7BD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FCFD5F8" w14:textId="77777777" w:rsidR="00FA7BD2" w:rsidRDefault="00FA7BD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1B2B" w14:textId="77777777" w:rsidR="00890C5A" w:rsidRDefault="00890C5A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23B30" w14:textId="77777777" w:rsidR="00890C5A" w:rsidRDefault="00890C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0" w:hanging="2"/>
      <w:rPr>
        <w:rFonts w:ascii="Arial" w:eastAsia="Arial" w:hAnsi="Arial" w:cs="Arial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79DEA" w14:textId="77777777" w:rsidR="00890C5A" w:rsidRDefault="00890C5A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25D01"/>
    <w:multiLevelType w:val="multilevel"/>
    <w:tmpl w:val="6172D5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1F605CE"/>
    <w:multiLevelType w:val="multilevel"/>
    <w:tmpl w:val="C4F439FA"/>
    <w:lvl w:ilvl="0">
      <w:numFmt w:val="bullet"/>
      <w:lvlText w:val="●"/>
      <w:lvlJc w:val="left"/>
      <w:pPr>
        <w:ind w:left="1304" w:hanging="454"/>
      </w:pPr>
      <w:rPr>
        <w:u w:val="none"/>
      </w:rPr>
    </w:lvl>
    <w:lvl w:ilvl="1">
      <w:start w:val="1"/>
      <w:numFmt w:val="bullet"/>
      <w:lvlText w:val="o"/>
      <w:lvlJc w:val="left"/>
      <w:pPr>
        <w:ind w:left="21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6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2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2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60" w:hanging="360"/>
      </w:pPr>
      <w:rPr>
        <w:u w:val="none"/>
      </w:rPr>
    </w:lvl>
  </w:abstractNum>
  <w:abstractNum w:abstractNumId="2" w15:restartNumberingAfterBreak="0">
    <w:nsid w:val="62F80629"/>
    <w:multiLevelType w:val="multilevel"/>
    <w:tmpl w:val="0C0A6166"/>
    <w:lvl w:ilvl="0">
      <w:start w:val="2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C2A332F"/>
    <w:multiLevelType w:val="multilevel"/>
    <w:tmpl w:val="ACEEB68A"/>
    <w:lvl w:ilvl="0">
      <w:numFmt w:val="bullet"/>
      <w:lvlText w:val="●"/>
      <w:lvlJc w:val="left"/>
      <w:pPr>
        <w:ind w:left="1134" w:hanging="454"/>
      </w:pPr>
      <w:rPr>
        <w:u w:val="none"/>
      </w:rPr>
    </w:lvl>
    <w:lvl w:ilvl="1">
      <w:start w:val="1"/>
      <w:numFmt w:val="bullet"/>
      <w:lvlText w:val="o"/>
      <w:lvlJc w:val="left"/>
      <w:pPr>
        <w:ind w:left="195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6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9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1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5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27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90" w:hanging="360"/>
      </w:pPr>
      <w:rPr>
        <w:u w:val="none"/>
      </w:rPr>
    </w:lvl>
  </w:abstractNum>
  <w:num w:numId="1" w16cid:durableId="1033921843">
    <w:abstractNumId w:val="3"/>
  </w:num>
  <w:num w:numId="2" w16cid:durableId="916402896">
    <w:abstractNumId w:val="0"/>
  </w:num>
  <w:num w:numId="3" w16cid:durableId="1850489279">
    <w:abstractNumId w:val="1"/>
  </w:num>
  <w:num w:numId="4" w16cid:durableId="2117675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C5A"/>
    <w:rsid w:val="0009635A"/>
    <w:rsid w:val="001D1B11"/>
    <w:rsid w:val="00257F30"/>
    <w:rsid w:val="002810AC"/>
    <w:rsid w:val="00626580"/>
    <w:rsid w:val="00827F5D"/>
    <w:rsid w:val="008349B3"/>
    <w:rsid w:val="00890C5A"/>
    <w:rsid w:val="008F3A7F"/>
    <w:rsid w:val="00D93D38"/>
    <w:rsid w:val="00FA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166F"/>
  <w15:docId w15:val="{CEDEA700-D332-47E8-A67D-8E9DC022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es-AR"/>
    </w:rPr>
  </w:style>
  <w:style w:type="paragraph" w:styleId="Ttulo1">
    <w:name w:val="heading 1"/>
    <w:basedOn w:val="Normal"/>
    <w:next w:val="Normal"/>
    <w:uiPriority w:val="9"/>
    <w:qFormat/>
    <w:pPr>
      <w:keepNext/>
      <w:spacing w:line="1" w:lineRule="atLeast"/>
      <w:jc w:val="center"/>
    </w:pPr>
    <w:rPr>
      <w:rFonts w:ascii="Century Gothic" w:hAnsi="Century Gothic"/>
      <w:b/>
      <w:sz w:val="20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1" w:lineRule="atLeast"/>
      <w:outlineLvl w:val="1"/>
    </w:pPr>
    <w:rPr>
      <w:rFonts w:ascii="Century Gothic" w:hAnsi="Century Gothic"/>
      <w:b/>
      <w:sz w:val="20"/>
      <w:lang w:val="es-ES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1" w:lineRule="atLeast"/>
      <w:jc w:val="center"/>
      <w:outlineLvl w:val="2"/>
    </w:pPr>
    <w:rPr>
      <w:rFonts w:ascii="Century Gothic" w:hAnsi="Century Gothic"/>
      <w:b/>
      <w:sz w:val="20"/>
      <w:u w:val="single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1" w:lineRule="atLeast"/>
      <w:jc w:val="center"/>
      <w:outlineLvl w:val="3"/>
    </w:pPr>
    <w:rPr>
      <w:rFonts w:ascii="Century Gothic" w:hAnsi="Century Gothic"/>
      <w:b/>
      <w:sz w:val="24"/>
      <w:lang w:val="es-ES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line="1" w:lineRule="atLeast"/>
      <w:jc w:val="center"/>
    </w:pPr>
    <w:rPr>
      <w:rFonts w:ascii="Times New Roman" w:hAnsi="Times New Roman"/>
      <w:sz w:val="24"/>
      <w:szCs w:val="24"/>
      <w:u w:val="single"/>
      <w:lang w:val="es-ES" w:eastAsia="es-ES"/>
    </w:rPr>
  </w:style>
  <w:style w:type="paragraph" w:styleId="Textoindependiente">
    <w:name w:val="Body Text"/>
    <w:basedOn w:val="Normal"/>
    <w:pPr>
      <w:spacing w:line="1" w:lineRule="atLeast"/>
    </w:pPr>
    <w:rPr>
      <w:rFonts w:ascii="Century Gothic" w:hAnsi="Century Gothic"/>
      <w:sz w:val="20"/>
      <w:lang w:val="es-ES" w:eastAsia="es-ES"/>
    </w:rPr>
  </w:style>
  <w:style w:type="paragraph" w:styleId="Textoindependiente2">
    <w:name w:val="Body Text 2"/>
    <w:basedOn w:val="Normal"/>
    <w:pPr>
      <w:spacing w:line="1" w:lineRule="atLeast"/>
    </w:pPr>
    <w:rPr>
      <w:rFonts w:ascii="Century Gothic" w:hAnsi="Century Gothic"/>
      <w:b/>
      <w:sz w:val="20"/>
      <w:lang w:val="es-ES" w:eastAsia="es-ES"/>
    </w:rPr>
  </w:style>
  <w:style w:type="paragraph" w:styleId="Textoindependiente3">
    <w:name w:val="Body Text 3"/>
    <w:basedOn w:val="Normal"/>
    <w:pPr>
      <w:spacing w:line="1" w:lineRule="atLeast"/>
      <w:jc w:val="both"/>
    </w:pPr>
    <w:rPr>
      <w:rFonts w:ascii="Century Gothic" w:hAnsi="Century Gothic"/>
      <w:b/>
      <w:sz w:val="20"/>
      <w:lang w:val="es-ES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line="1" w:lineRule="atLeast"/>
    </w:pPr>
    <w:rPr>
      <w:rFonts w:ascii="Arial" w:hAnsi="Arial"/>
      <w:sz w:val="24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Pa-3">
    <w:name w:val="Pa-3"/>
    <w:basedOn w:val="Normal"/>
    <w:pPr>
      <w:spacing w:before="60" w:line="1" w:lineRule="atLeast"/>
      <w:ind w:left="2835" w:hanging="2835"/>
      <w:jc w:val="both"/>
    </w:pPr>
    <w:rPr>
      <w:rFonts w:ascii="Times New Roman" w:hAnsi="Times New Roman"/>
      <w:sz w:val="24"/>
      <w:lang w:val="es-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line="1" w:lineRule="atLeast"/>
    </w:pPr>
    <w:rPr>
      <w:rFonts w:ascii="Arial" w:hAnsi="Arial"/>
      <w:sz w:val="24"/>
      <w:lang w:val="es-ES" w:eastAsia="es-ES"/>
    </w:rPr>
  </w:style>
  <w:style w:type="paragraph" w:styleId="Sangradetextonormal">
    <w:name w:val="Body Text Indent"/>
    <w:basedOn w:val="Normal"/>
    <w:pPr>
      <w:spacing w:line="1" w:lineRule="atLeast"/>
      <w:ind w:firstLine="708"/>
      <w:jc w:val="both"/>
    </w:pPr>
    <w:rPr>
      <w:rFonts w:ascii="Century Gothic" w:hAnsi="Century Gothic"/>
      <w:sz w:val="20"/>
      <w:lang w:eastAsia="es-ES"/>
    </w:rPr>
  </w:style>
  <w:style w:type="paragraph" w:styleId="Sangra2detindependiente">
    <w:name w:val="Body Text Indent 2"/>
    <w:basedOn w:val="Normal"/>
    <w:pPr>
      <w:spacing w:line="1" w:lineRule="atLeast"/>
      <w:ind w:firstLine="1"/>
      <w:jc w:val="both"/>
    </w:pPr>
    <w:rPr>
      <w:rFonts w:ascii="Century Gothic" w:hAnsi="Century Gothic"/>
      <w:sz w:val="20"/>
      <w:lang w:val="es-ES" w:eastAsia="es-ES"/>
    </w:rPr>
  </w:style>
  <w:style w:type="paragraph" w:styleId="Mapadeldocumento">
    <w:name w:val="Document Map"/>
    <w:basedOn w:val="Normal"/>
    <w:pPr>
      <w:shd w:val="clear" w:color="auto" w:fill="000080"/>
      <w:spacing w:line="1" w:lineRule="atLeast"/>
    </w:pPr>
    <w:rPr>
      <w:rFonts w:ascii="Tahoma" w:hAnsi="Tahoma" w:cs="Tahoma"/>
      <w:sz w:val="20"/>
      <w:lang w:val="es-ES" w:eastAsia="es-ES"/>
    </w:rPr>
  </w:style>
  <w:style w:type="character" w:customStyle="1" w:styleId="cuil">
    <w:name w:val="cuil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angra3detindependiente">
    <w:name w:val="Body Text Indent 3"/>
    <w:basedOn w:val="Normal"/>
    <w:pPr>
      <w:spacing w:after="120" w:line="1" w:lineRule="atLeast"/>
      <w:ind w:left="283"/>
    </w:pPr>
    <w:rPr>
      <w:rFonts w:ascii="Arial" w:hAnsi="Arial"/>
      <w:sz w:val="16"/>
      <w:szCs w:val="16"/>
      <w:lang w:val="es-ES" w:eastAsia="es-ES"/>
    </w:rPr>
  </w:style>
  <w:style w:type="character" w:customStyle="1" w:styleId="apple-style-span">
    <w:name w:val="apple-style-span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line="1" w:lineRule="atLeast"/>
    </w:pPr>
    <w:rPr>
      <w:rFonts w:ascii="Tahoma" w:hAnsi="Tahoma" w:cs="Tahoma"/>
      <w:sz w:val="16"/>
      <w:szCs w:val="16"/>
      <w:lang w:val="es-ES" w:eastAsia="es-ES"/>
    </w:rPr>
  </w:style>
  <w:style w:type="paragraph" w:customStyle="1" w:styleId="Textoindependiente31">
    <w:name w:val="Texto independiente 31"/>
    <w:basedOn w:val="Normal"/>
    <w:pPr>
      <w:widowControl w:val="0"/>
      <w:suppressAutoHyphens w:val="0"/>
      <w:spacing w:line="1" w:lineRule="atLeast"/>
      <w:jc w:val="both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EncabezadoCar">
    <w:name w:val="Encabezado C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character" w:customStyle="1" w:styleId="Ttulo1Car">
    <w:name w:val="Título 1 Car"/>
    <w:rPr>
      <w:rFonts w:ascii="Century Gothic" w:hAnsi="Century Gothic"/>
      <w:b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tabs>
        <w:tab w:val="num" w:pos="1440"/>
      </w:tabs>
      <w:spacing w:line="1" w:lineRule="atLeast"/>
      <w:ind w:left="1440" w:hanging="360"/>
      <w:jc w:val="both"/>
    </w:pPr>
    <w:rPr>
      <w:rFonts w:ascii="Century Gothic" w:hAnsi="Century Gothic"/>
      <w:bCs/>
      <w:sz w:val="20"/>
    </w:rPr>
  </w:style>
  <w:style w:type="paragraph" w:customStyle="1" w:styleId="Normal1">
    <w:name w:val="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Standard">
    <w:name w:val="Standard"/>
    <w:pPr>
      <w:autoSpaceDN w:val="0"/>
      <w:spacing w:after="200" w:line="276" w:lineRule="auto"/>
      <w:ind w:leftChars="-1" w:left="357" w:hangingChars="1" w:hanging="357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es-AR" w:eastAsia="en-US"/>
    </w:rPr>
  </w:style>
  <w:style w:type="numbering" w:customStyle="1" w:styleId="WWNum1">
    <w:name w:val="WWNum1"/>
    <w:basedOn w:val="Sinlista"/>
  </w:style>
  <w:style w:type="paragraph" w:customStyle="1" w:styleId="Normal4">
    <w:name w:val="Normal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Ttulo2Car">
    <w:name w:val="Título 2 Car"/>
    <w:rPr>
      <w:rFonts w:ascii="Century Gothic" w:hAnsi="Century Gothic"/>
      <w:b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comentario">
    <w:name w:val="annotation text"/>
    <w:basedOn w:val="Normal"/>
    <w:qFormat/>
    <w:pPr>
      <w:suppressAutoHyphens w:val="0"/>
      <w:spacing w:line="1" w:lineRule="atLeast"/>
    </w:pPr>
    <w:rPr>
      <w:rFonts w:ascii="Times New Roman" w:hAnsi="Times New Roman"/>
      <w:sz w:val="20"/>
      <w:lang w:val="es-ES" w:eastAsia="es-E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Normal3">
    <w:name w:val="Normal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rPr>
      <w:rFonts w:ascii="Calibri" w:eastAsia="Calibri" w:hAnsi="Calibri" w:cs="Calibri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6Car">
    <w:name w:val="Título 6 Car"/>
    <w:rPr>
      <w:rFonts w:ascii="Calibri" w:eastAsia="Calibri" w:hAnsi="Calibri" w:cs="Calibri"/>
      <w:b/>
      <w:w w:val="100"/>
      <w:position w:val="-1"/>
      <w:effect w:val="none"/>
      <w:vertAlign w:val="baseline"/>
      <w:cs w:val="0"/>
      <w:em w:val="none"/>
    </w:rPr>
  </w:style>
  <w:style w:type="table" w:customStyle="1" w:styleId="TableNormal0">
    <w:name w:val="Table Normal"/>
    <w:next w:val="Table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1" w:lineRule="atLeast"/>
    </w:pPr>
    <w:rPr>
      <w:rFonts w:ascii="Times New Roman" w:hAnsi="Times New Roman"/>
      <w:sz w:val="24"/>
      <w:szCs w:val="24"/>
    </w:rPr>
  </w:style>
  <w:style w:type="character" w:customStyle="1" w:styleId="apple-tab-span">
    <w:name w:val="apple-tab-span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ar">
    <w:name w:val="Título Car"/>
    <w:rPr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Georgia" w:eastAsia="Georgia" w:hAnsi="Georgia" w:cs="Georgia"/>
      <w:i/>
      <w:color w:val="666666"/>
      <w:w w:val="100"/>
      <w:position w:val="-1"/>
      <w:sz w:val="48"/>
      <w:szCs w:val="48"/>
      <w:effect w:val="none"/>
      <w:vertAlign w:val="baseline"/>
      <w:cs w:val="0"/>
      <w:em w:val="none"/>
    </w:rPr>
  </w:style>
  <w:style w:type="paragraph" w:customStyle="1" w:styleId="Normal2">
    <w:name w:val="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osresolutivos.unlpam.edu.ar/static_ecs/media/uploads/pdf/4_7_2019_315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file/d/1S0a8wx9bIRnC-4LU3D6UT43qiSgB3z03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tosresolutivos.unlpam.edu.ar/static_ecs/media/uploads/pdf/5_4_2022_62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ryBq53yvzw2NMO92ClcqecuqFA==">CgMxLjAyCGguZ2pkZ3hzOAByITEzWkRHMmxETG5WX2JmaUV5TUdZSVNxUHZDaWpRUERqUA==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1054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Facultad de Ingeniería</dc:creator>
  <cp:lastModifiedBy>SEC. CONSEJO</cp:lastModifiedBy>
  <cp:revision>6</cp:revision>
  <dcterms:created xsi:type="dcterms:W3CDTF">2021-02-18T21:58:00Z</dcterms:created>
  <dcterms:modified xsi:type="dcterms:W3CDTF">2024-12-05T12:14:00Z</dcterms:modified>
</cp:coreProperties>
</file>